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DD387" w14:textId="4AEB6870" w:rsidR="00D14D7F" w:rsidRPr="0079136A" w:rsidRDefault="0079136A" w:rsidP="00D14D7F">
      <w:pPr>
        <w:spacing w:after="0" w:line="240" w:lineRule="auto"/>
        <w:rPr>
          <w:b/>
          <w:u w:val="single"/>
        </w:rPr>
      </w:pPr>
      <w:r w:rsidRPr="0079136A">
        <w:rPr>
          <w:b/>
          <w:u w:val="single"/>
        </w:rPr>
        <w:t>COMUNICATO STAMPA</w:t>
      </w:r>
    </w:p>
    <w:p w14:paraId="10B038AD" w14:textId="77777777" w:rsidR="0079136A" w:rsidRDefault="0079136A" w:rsidP="00D14D7F">
      <w:pPr>
        <w:spacing w:after="0" w:line="240" w:lineRule="auto"/>
        <w:rPr>
          <w:b/>
          <w:sz w:val="24"/>
          <w:szCs w:val="24"/>
        </w:rPr>
      </w:pPr>
    </w:p>
    <w:p w14:paraId="339A7C3F" w14:textId="7DD27FDB" w:rsidR="00D14D7F" w:rsidRPr="0079136A" w:rsidRDefault="00D14D7F" w:rsidP="00D31438">
      <w:pPr>
        <w:spacing w:after="0" w:line="240" w:lineRule="auto"/>
        <w:rPr>
          <w:b/>
          <w:sz w:val="24"/>
          <w:szCs w:val="24"/>
        </w:rPr>
      </w:pPr>
      <w:r w:rsidRPr="0079136A">
        <w:rPr>
          <w:b/>
          <w:sz w:val="24"/>
          <w:szCs w:val="24"/>
        </w:rPr>
        <w:t>L’Europa con noi per ripartire: 10 incontri sul territorio per presentare le opportunità del PSR MARCHE 2014/2020 a sostegno delle aree del cratere</w:t>
      </w:r>
    </w:p>
    <w:p w14:paraId="5A04F0CC" w14:textId="0B8B18D7" w:rsidR="00D14D7F" w:rsidRPr="0079136A" w:rsidRDefault="00D14D7F" w:rsidP="00D14D7F">
      <w:pPr>
        <w:spacing w:after="0" w:line="240" w:lineRule="auto"/>
        <w:rPr>
          <w:b/>
          <w:sz w:val="24"/>
          <w:szCs w:val="24"/>
        </w:rPr>
      </w:pPr>
    </w:p>
    <w:p w14:paraId="08BEC00E" w14:textId="35220F76" w:rsidR="00D14D7F" w:rsidRPr="0079136A" w:rsidRDefault="00D14D7F" w:rsidP="00227D4A">
      <w:pPr>
        <w:spacing w:after="0" w:line="240" w:lineRule="auto"/>
        <w:jc w:val="both"/>
        <w:rPr>
          <w:sz w:val="24"/>
          <w:szCs w:val="24"/>
        </w:rPr>
      </w:pPr>
      <w:r w:rsidRPr="0079136A">
        <w:rPr>
          <w:sz w:val="24"/>
          <w:szCs w:val="24"/>
        </w:rPr>
        <w:t>L’iniziativa promossa da Regione Marche “L’Europa con noi per ripartire”</w:t>
      </w:r>
      <w:r w:rsidR="00227D4A" w:rsidRPr="0079136A">
        <w:rPr>
          <w:sz w:val="24"/>
          <w:szCs w:val="24"/>
        </w:rPr>
        <w:t xml:space="preserve"> </w:t>
      </w:r>
      <w:r w:rsidRPr="0079136A">
        <w:rPr>
          <w:sz w:val="24"/>
          <w:szCs w:val="24"/>
        </w:rPr>
        <w:t>prosegue</w:t>
      </w:r>
      <w:r w:rsidR="00227D4A" w:rsidRPr="0079136A">
        <w:rPr>
          <w:sz w:val="24"/>
          <w:szCs w:val="24"/>
        </w:rPr>
        <w:t xml:space="preserve"> con l’obiettivo di presentare </w:t>
      </w:r>
      <w:r w:rsidR="00227D4A" w:rsidRPr="0079136A">
        <w:rPr>
          <w:b/>
          <w:sz w:val="24"/>
          <w:szCs w:val="24"/>
        </w:rPr>
        <w:t>direttamente nei luoghi terremotati</w:t>
      </w:r>
      <w:r w:rsidR="00227D4A" w:rsidRPr="0079136A">
        <w:rPr>
          <w:sz w:val="24"/>
          <w:szCs w:val="24"/>
        </w:rPr>
        <w:t xml:space="preserve"> le opportunità offerte dal PSR MARCHE 2014/2020 per la rinascita post – sisma.</w:t>
      </w:r>
    </w:p>
    <w:p w14:paraId="0DA8CE04" w14:textId="507F2D1B" w:rsidR="00227D4A" w:rsidRPr="0079136A" w:rsidRDefault="00227D4A" w:rsidP="00D14D7F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136A">
        <w:rPr>
          <w:rFonts w:asciiTheme="minorHAnsi" w:eastAsiaTheme="minorHAnsi" w:hAnsiTheme="minorHAnsi" w:cstheme="minorBidi"/>
          <w:sz w:val="24"/>
          <w:szCs w:val="24"/>
          <w:lang w:eastAsia="en-US"/>
        </w:rPr>
        <w:t>Nelle prossime settimane,</w:t>
      </w:r>
      <w:r w:rsidRPr="0079136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79136A">
        <w:rPr>
          <w:rFonts w:asciiTheme="minorHAnsi" w:eastAsiaTheme="minorHAnsi" w:hAnsiTheme="minorHAnsi" w:cstheme="minorBidi"/>
          <w:sz w:val="24"/>
          <w:szCs w:val="24"/>
          <w:lang w:eastAsia="en-US"/>
        </w:rPr>
        <w:t>sono previsti</w:t>
      </w:r>
      <w:r w:rsidRPr="0079136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d</w:t>
      </w:r>
      <w:r w:rsidR="00D14D7F" w:rsidRPr="0079136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ieci </w:t>
      </w:r>
      <w:r w:rsidR="00280961" w:rsidRPr="0079136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seminari </w:t>
      </w:r>
      <w:r w:rsidR="00D14D7F" w:rsidRPr="0079136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per presentare ad imprese e cittadini i bandi PSR Marche in uscita in questo periodo e destinati all’area del cratere</w:t>
      </w:r>
      <w:r w:rsidR="00D14D7F" w:rsidRPr="0079136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</w:p>
    <w:p w14:paraId="7F67BC09" w14:textId="7129F35E" w:rsidR="00280961" w:rsidRPr="0079136A" w:rsidRDefault="00280961" w:rsidP="00280961">
      <w:pPr>
        <w:spacing w:after="0" w:line="240" w:lineRule="auto"/>
        <w:jc w:val="both"/>
        <w:rPr>
          <w:sz w:val="24"/>
          <w:szCs w:val="24"/>
        </w:rPr>
      </w:pPr>
      <w:r w:rsidRPr="0079136A">
        <w:rPr>
          <w:sz w:val="24"/>
          <w:szCs w:val="24"/>
        </w:rPr>
        <w:t xml:space="preserve">La presentazione dei bandi e delle modalità di accesso sarà a cura dei funzionari regionali che offriranno un focus su: </w:t>
      </w:r>
    </w:p>
    <w:p w14:paraId="49A5A59F" w14:textId="77777777" w:rsidR="00280961" w:rsidRPr="0079136A" w:rsidRDefault="00280961" w:rsidP="0028096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9136A">
        <w:rPr>
          <w:sz w:val="24"/>
          <w:szCs w:val="24"/>
        </w:rPr>
        <w:t>Pacchetto Giovani</w:t>
      </w:r>
    </w:p>
    <w:p w14:paraId="72CFA471" w14:textId="77777777" w:rsidR="00280961" w:rsidRPr="0079136A" w:rsidRDefault="00280961" w:rsidP="0028096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9136A">
        <w:rPr>
          <w:sz w:val="24"/>
          <w:szCs w:val="24"/>
        </w:rPr>
        <w:t>Filiere Agroalimentari</w:t>
      </w:r>
    </w:p>
    <w:p w14:paraId="22E48188" w14:textId="77777777" w:rsidR="00280961" w:rsidRPr="0079136A" w:rsidRDefault="00280961" w:rsidP="0028096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9136A">
        <w:rPr>
          <w:sz w:val="24"/>
          <w:szCs w:val="24"/>
        </w:rPr>
        <w:t xml:space="preserve">Filiere Corte e Mercati locali </w:t>
      </w:r>
    </w:p>
    <w:p w14:paraId="334A0943" w14:textId="77777777" w:rsidR="00280961" w:rsidRPr="0079136A" w:rsidRDefault="00280961" w:rsidP="0028096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9136A">
        <w:rPr>
          <w:sz w:val="24"/>
          <w:szCs w:val="24"/>
        </w:rPr>
        <w:t>Filiera Legno – Energia – No food</w:t>
      </w:r>
    </w:p>
    <w:p w14:paraId="3A52146D" w14:textId="77777777" w:rsidR="00280961" w:rsidRPr="0079136A" w:rsidRDefault="00280961" w:rsidP="0028096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9136A">
        <w:rPr>
          <w:sz w:val="24"/>
          <w:szCs w:val="24"/>
        </w:rPr>
        <w:t>Mitigazione conflitti allevatori-lupo</w:t>
      </w:r>
    </w:p>
    <w:p w14:paraId="79E65F34" w14:textId="77777777" w:rsidR="00280961" w:rsidRPr="0079136A" w:rsidRDefault="00280961" w:rsidP="0028096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9136A">
        <w:rPr>
          <w:sz w:val="24"/>
          <w:szCs w:val="24"/>
        </w:rPr>
        <w:t>Sostegno alla forestazione e all’imboschimento (focus “tartuficoltura”)</w:t>
      </w:r>
    </w:p>
    <w:p w14:paraId="15DF4448" w14:textId="77777777" w:rsidR="00280961" w:rsidRPr="0079136A" w:rsidRDefault="00280961" w:rsidP="0028096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9136A">
        <w:rPr>
          <w:sz w:val="24"/>
          <w:szCs w:val="24"/>
        </w:rPr>
        <w:t>Miglioramento della viabilità rurale</w:t>
      </w:r>
    </w:p>
    <w:p w14:paraId="5599E6CD" w14:textId="014FBF57" w:rsidR="00E87021" w:rsidRPr="00E87021" w:rsidRDefault="0079136A" w:rsidP="00E87021">
      <w:pPr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Un accenno sarà comunque offerto su tutti i bandi in scadenza e di prossima uscita, </w:t>
      </w:r>
      <w:r w:rsidR="00E87021" w:rsidRPr="00E87021">
        <w:rPr>
          <w:sz w:val="24"/>
          <w:szCs w:val="24"/>
        </w:rPr>
        <w:t>siano essi bandi ad hoc oppure tramite la riserva di risorse finanziarie su bandi ordinari.</w:t>
      </w:r>
    </w:p>
    <w:p w14:paraId="52768813" w14:textId="0F7FE60A" w:rsidR="007D018B" w:rsidRDefault="00A75DEC" w:rsidP="00D14D7F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Le sedi degli incontri sono state individuate cercando di raggiungere la maggior parte del territorio interessato</w:t>
      </w:r>
      <w:r w:rsidR="00227D4A" w:rsidRPr="0079136A">
        <w:rPr>
          <w:rFonts w:asciiTheme="minorHAnsi" w:eastAsiaTheme="minorHAnsi" w:hAnsiTheme="minorHAnsi" w:cstheme="minorBidi"/>
          <w:sz w:val="24"/>
          <w:szCs w:val="24"/>
          <w:lang w:eastAsia="en-US"/>
        </w:rPr>
        <w:t>:</w:t>
      </w:r>
      <w:bookmarkStart w:id="0" w:name="_GoBack"/>
      <w:bookmarkEnd w:id="0"/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040"/>
        <w:gridCol w:w="2520"/>
        <w:gridCol w:w="3880"/>
      </w:tblGrid>
      <w:tr w:rsidR="007D018B" w14:paraId="1C6B632B" w14:textId="77777777" w:rsidTr="007D018B">
        <w:trPr>
          <w:trHeight w:val="420"/>
        </w:trPr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03F422" w14:textId="77777777" w:rsidR="007D018B" w:rsidRDefault="007D018B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B9966B" w14:textId="77777777" w:rsidR="007D018B" w:rsidRDefault="007D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it-IT"/>
              </w:rPr>
              <w:t xml:space="preserve">Luogo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CC4715" w14:textId="77777777" w:rsidR="007D018B" w:rsidRDefault="007D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it-IT"/>
              </w:rPr>
              <w:t>data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CFE405" w14:textId="77777777" w:rsidR="007D018B" w:rsidRDefault="007D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it-IT"/>
              </w:rPr>
              <w:t>inizio evento</w:t>
            </w:r>
          </w:p>
        </w:tc>
      </w:tr>
      <w:tr w:rsidR="007D018B" w14:paraId="299B42A3" w14:textId="77777777" w:rsidTr="007D018B">
        <w:trPr>
          <w:trHeight w:val="4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C829CF" w14:textId="77777777" w:rsidR="007D018B" w:rsidRDefault="007D018B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bookmarkStart w:id="1" w:name="RANGE!A2:C11"/>
            <w:r>
              <w:rPr>
                <w:color w:val="000000"/>
                <w:lang w:eastAsia="it-IT"/>
              </w:rPr>
              <w:t>1</w:t>
            </w:r>
            <w:bookmarkEnd w:id="1"/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F8C516" w14:textId="77777777" w:rsidR="007D018B" w:rsidRDefault="007D018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Valfornace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ADC37E" w14:textId="77777777" w:rsidR="007D018B" w:rsidRDefault="007D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it-IT"/>
              </w:rPr>
              <w:t>22 ottobre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31A532" w14:textId="77777777" w:rsidR="007D018B" w:rsidRDefault="007D018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>18:00</w:t>
            </w:r>
          </w:p>
        </w:tc>
      </w:tr>
      <w:tr w:rsidR="007D018B" w14:paraId="41750FE2" w14:textId="77777777" w:rsidTr="007D018B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582807" w14:textId="77777777" w:rsidR="007D018B" w:rsidRDefault="007D018B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0472F5" w14:textId="77777777" w:rsidR="007D018B" w:rsidRDefault="007D018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Arquata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BACF63" w14:textId="77777777" w:rsidR="007D018B" w:rsidRDefault="007D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it-IT"/>
              </w:rPr>
              <w:t>23 ottobre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B2CD27" w14:textId="77777777" w:rsidR="007D018B" w:rsidRDefault="007D018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>16:30</w:t>
            </w:r>
          </w:p>
        </w:tc>
      </w:tr>
      <w:tr w:rsidR="007D018B" w14:paraId="5F316177" w14:textId="77777777" w:rsidTr="007D018B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EF2C37" w14:textId="77777777" w:rsidR="007D018B" w:rsidRDefault="007D018B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800F06" w14:textId="77777777" w:rsidR="007D018B" w:rsidRDefault="007D018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Camerino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CD393E" w14:textId="77777777" w:rsidR="007D018B" w:rsidRDefault="007D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it-IT"/>
              </w:rPr>
              <w:t>24 ottobre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19ADE7" w14:textId="77777777" w:rsidR="007D018B" w:rsidRDefault="007D018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>16:30</w:t>
            </w:r>
          </w:p>
        </w:tc>
      </w:tr>
      <w:tr w:rsidR="007D018B" w14:paraId="6C4278BD" w14:textId="77777777" w:rsidTr="007D018B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74F750" w14:textId="77777777" w:rsidR="007D018B" w:rsidRDefault="007D018B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406CD1" w14:textId="77777777" w:rsidR="007D018B" w:rsidRDefault="007D018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Ortezzano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9B3C9B" w14:textId="77777777" w:rsidR="007D018B" w:rsidRDefault="007D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it-IT"/>
              </w:rPr>
              <w:t>26 ottobre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70E65E" w14:textId="77777777" w:rsidR="007D018B" w:rsidRDefault="007D018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>16:30</w:t>
            </w:r>
          </w:p>
        </w:tc>
      </w:tr>
      <w:tr w:rsidR="007D018B" w14:paraId="7E7018C6" w14:textId="77777777" w:rsidTr="007D018B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1EEDA2" w14:textId="77777777" w:rsidR="007D018B" w:rsidRDefault="007D018B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8F4D2C" w14:textId="77777777" w:rsidR="007D018B" w:rsidRDefault="007D018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San Severino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906B59" w14:textId="77777777" w:rsidR="007D018B" w:rsidRDefault="007D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it-IT"/>
              </w:rPr>
              <w:t>29 ottobre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73116B" w14:textId="77777777" w:rsidR="007D018B" w:rsidRDefault="007D018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>16:30</w:t>
            </w:r>
          </w:p>
        </w:tc>
      </w:tr>
      <w:tr w:rsidR="007D018B" w14:paraId="55FA1861" w14:textId="77777777" w:rsidTr="007D018B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735B24" w14:textId="77777777" w:rsidR="007D018B" w:rsidRDefault="007D018B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7C4D9E" w14:textId="77777777" w:rsidR="007D018B" w:rsidRDefault="007D018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Amandola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BA828F" w14:textId="77777777" w:rsidR="007D018B" w:rsidRDefault="007D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it-IT"/>
              </w:rPr>
              <w:t>31 ottobre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2F91D2" w14:textId="77777777" w:rsidR="007D018B" w:rsidRDefault="007D018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>16:30</w:t>
            </w:r>
          </w:p>
        </w:tc>
      </w:tr>
      <w:tr w:rsidR="007D018B" w14:paraId="01C249F6" w14:textId="77777777" w:rsidTr="007D018B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861B13" w14:textId="77777777" w:rsidR="007D018B" w:rsidRDefault="007D018B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C99FF1" w14:textId="77777777" w:rsidR="007D018B" w:rsidRDefault="007D018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Visso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0993B9" w14:textId="77777777" w:rsidR="007D018B" w:rsidRDefault="007D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it-IT"/>
              </w:rPr>
              <w:t>5 novembre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7522BC" w14:textId="77777777" w:rsidR="007D018B" w:rsidRDefault="007D018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>16:30</w:t>
            </w:r>
          </w:p>
        </w:tc>
      </w:tr>
      <w:tr w:rsidR="007D018B" w14:paraId="7FE64988" w14:textId="77777777" w:rsidTr="007D018B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9C16AC" w14:textId="77777777" w:rsidR="007D018B" w:rsidRDefault="007D018B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1E6FB9" w14:textId="77777777" w:rsidR="007D018B" w:rsidRDefault="007D018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San Ginesio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B0CF44" w14:textId="77777777" w:rsidR="007D018B" w:rsidRDefault="007D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it-IT"/>
              </w:rPr>
              <w:t>6 novembre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0C5358" w14:textId="77777777" w:rsidR="007D018B" w:rsidRDefault="007D018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>16:30</w:t>
            </w:r>
          </w:p>
        </w:tc>
      </w:tr>
      <w:tr w:rsidR="007D018B" w14:paraId="6AC08F56" w14:textId="77777777" w:rsidTr="007D018B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9FDC45" w14:textId="77777777" w:rsidR="007D018B" w:rsidRDefault="007D018B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D21244" w14:textId="77777777" w:rsidR="007D018B" w:rsidRDefault="007D018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Offida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139451" w14:textId="77777777" w:rsidR="007D018B" w:rsidRDefault="007D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it-IT"/>
              </w:rPr>
              <w:t>7 novembre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2DCA8F" w14:textId="77777777" w:rsidR="007D018B" w:rsidRDefault="007D018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>16:30</w:t>
            </w:r>
          </w:p>
        </w:tc>
      </w:tr>
      <w:tr w:rsidR="007D018B" w14:paraId="0AB61AEA" w14:textId="77777777" w:rsidTr="007D018B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47C9B4" w14:textId="77777777" w:rsidR="007D018B" w:rsidRDefault="007D018B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11FB12" w14:textId="77777777" w:rsidR="007D018B" w:rsidRDefault="007D018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Montefortino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D9C4F8" w14:textId="77777777" w:rsidR="007D018B" w:rsidRDefault="007D018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it-IT"/>
              </w:rPr>
              <w:t>8 novembre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66396F" w14:textId="77777777" w:rsidR="007D018B" w:rsidRDefault="007D018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>16:30</w:t>
            </w:r>
          </w:p>
        </w:tc>
      </w:tr>
    </w:tbl>
    <w:p w14:paraId="284F34AB" w14:textId="77777777" w:rsidR="007D018B" w:rsidRPr="0079136A" w:rsidRDefault="007D018B" w:rsidP="00D14D7F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407AADB5" w14:textId="38D5E52D" w:rsidR="00D14D7F" w:rsidRDefault="00D14D7F" w:rsidP="00D14D7F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/>
          <w:sz w:val="24"/>
          <w:szCs w:val="24"/>
          <w:lang w:eastAsia="en-US"/>
        </w:rPr>
      </w:pPr>
      <w:r w:rsidRPr="0079136A">
        <w:rPr>
          <w:rFonts w:asciiTheme="minorHAnsi" w:eastAsiaTheme="minorHAnsi" w:hAnsiTheme="minorHAnsi"/>
          <w:b/>
          <w:sz w:val="24"/>
          <w:szCs w:val="24"/>
          <w:lang w:eastAsia="en-US"/>
        </w:rPr>
        <w:t>159,25 milioni di euro</w:t>
      </w:r>
      <w:r w:rsidRPr="0079136A">
        <w:rPr>
          <w:rFonts w:asciiTheme="minorHAnsi" w:eastAsiaTheme="minorHAnsi" w:hAnsiTheme="minorHAnsi"/>
          <w:sz w:val="24"/>
          <w:szCs w:val="24"/>
          <w:lang w:eastAsia="en-US"/>
        </w:rPr>
        <w:t>, sono i fondi trasferiti a titolo di solidarietà dagli altri PSR delle Regioni italiane e dallo Stato al PSR Marche per sostenere la ripartenza delle zone colpite dal sisma</w:t>
      </w:r>
      <w:r w:rsidR="00227D4A" w:rsidRPr="0079136A">
        <w:rPr>
          <w:rFonts w:asciiTheme="minorHAnsi" w:eastAsiaTheme="minorHAnsi" w:hAnsiTheme="minorHAnsi"/>
          <w:sz w:val="24"/>
          <w:szCs w:val="24"/>
          <w:lang w:eastAsia="en-US"/>
        </w:rPr>
        <w:t xml:space="preserve"> che si </w:t>
      </w:r>
      <w:r w:rsidR="009619F3">
        <w:rPr>
          <w:rFonts w:asciiTheme="minorHAnsi" w:eastAsiaTheme="minorHAnsi" w:hAnsiTheme="minorHAnsi"/>
          <w:sz w:val="24"/>
          <w:szCs w:val="24"/>
          <w:lang w:eastAsia="en-US"/>
        </w:rPr>
        <w:t>somman</w:t>
      </w:r>
      <w:r w:rsidR="00227D4A" w:rsidRPr="0079136A">
        <w:rPr>
          <w:rFonts w:asciiTheme="minorHAnsi" w:eastAsiaTheme="minorHAnsi" w:hAnsiTheme="minorHAnsi"/>
          <w:sz w:val="24"/>
          <w:szCs w:val="24"/>
          <w:lang w:eastAsia="en-US"/>
        </w:rPr>
        <w:t>o a</w:t>
      </w:r>
      <w:r w:rsidR="006A3A84" w:rsidRPr="0079136A">
        <w:rPr>
          <w:rFonts w:asciiTheme="minorHAnsi" w:eastAsiaTheme="minorHAnsi" w:hAnsiTheme="minorHAnsi"/>
          <w:sz w:val="24"/>
          <w:szCs w:val="24"/>
          <w:lang w:eastAsia="en-US"/>
        </w:rPr>
        <w:t>gli altri fondi stanziati attraverso FESR e FSE.</w:t>
      </w:r>
      <w:r w:rsidR="00C00A6D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="006A3A84" w:rsidRPr="0079136A">
        <w:rPr>
          <w:rFonts w:asciiTheme="minorHAnsi" w:eastAsiaTheme="minorHAnsi" w:hAnsiTheme="minorHAnsi"/>
          <w:sz w:val="24"/>
          <w:szCs w:val="24"/>
          <w:lang w:eastAsia="en-US"/>
        </w:rPr>
        <w:t xml:space="preserve">Un totale </w:t>
      </w:r>
      <w:r w:rsidR="00280961" w:rsidRPr="0079136A">
        <w:rPr>
          <w:rFonts w:asciiTheme="minorHAnsi" w:eastAsiaTheme="minorHAnsi" w:hAnsiTheme="minorHAnsi"/>
          <w:sz w:val="24"/>
          <w:szCs w:val="24"/>
          <w:lang w:eastAsia="en-US"/>
        </w:rPr>
        <w:t xml:space="preserve">di </w:t>
      </w:r>
      <w:r w:rsidR="006A3A84" w:rsidRPr="0079136A">
        <w:rPr>
          <w:rFonts w:asciiTheme="minorHAnsi" w:eastAsiaTheme="minorHAnsi" w:hAnsiTheme="minorHAnsi"/>
          <w:sz w:val="24"/>
          <w:szCs w:val="24"/>
          <w:lang w:eastAsia="en-US"/>
        </w:rPr>
        <w:t xml:space="preserve">oltre 400 milioni di euro di fondi aggiuntivi che l’Europa ha assegnato </w:t>
      </w:r>
      <w:r w:rsidR="003125DF" w:rsidRPr="0079136A">
        <w:rPr>
          <w:rFonts w:asciiTheme="minorHAnsi" w:eastAsiaTheme="minorHAnsi" w:hAnsiTheme="minorHAnsi"/>
          <w:sz w:val="24"/>
          <w:szCs w:val="24"/>
          <w:lang w:eastAsia="en-US"/>
        </w:rPr>
        <w:t>allo sviluppo del</w:t>
      </w:r>
      <w:r w:rsidR="00280961" w:rsidRPr="0079136A">
        <w:rPr>
          <w:rFonts w:asciiTheme="minorHAnsi" w:eastAsiaTheme="minorHAnsi" w:hAnsiTheme="minorHAnsi"/>
          <w:sz w:val="24"/>
          <w:szCs w:val="24"/>
          <w:lang w:eastAsia="en-US"/>
        </w:rPr>
        <w:t>l’</w:t>
      </w:r>
      <w:r w:rsidR="003125DF" w:rsidRPr="0079136A">
        <w:rPr>
          <w:rFonts w:asciiTheme="minorHAnsi" w:eastAsiaTheme="minorHAnsi" w:hAnsiTheme="minorHAnsi"/>
          <w:sz w:val="24"/>
          <w:szCs w:val="24"/>
          <w:lang w:eastAsia="en-US"/>
        </w:rPr>
        <w:t>area del sisma, puntando</w:t>
      </w:r>
      <w:r w:rsidR="00280961" w:rsidRPr="0079136A">
        <w:rPr>
          <w:rFonts w:asciiTheme="minorHAnsi" w:eastAsiaTheme="minorHAnsi" w:hAnsiTheme="minorHAnsi"/>
          <w:sz w:val="24"/>
          <w:szCs w:val="24"/>
          <w:lang w:eastAsia="en-US"/>
        </w:rPr>
        <w:t xml:space="preserve"> sullo sviluppo rurale, sulla salvaguardia del territorio, sul sostegno alle imprese, sulle infrastrutture pubbliche.</w:t>
      </w:r>
      <w:r w:rsidR="003125DF" w:rsidRPr="0079136A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</w:p>
    <w:p w14:paraId="3B7C5C6C" w14:textId="2C228D4E" w:rsidR="00A662E5" w:rsidRPr="0079136A" w:rsidRDefault="00A75DEC" w:rsidP="00D14D7F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La programmazione di queste risorse ha tenuto conto del fatto che il territorio interessato ha una forte vocazione </w:t>
      </w:r>
      <w:r w:rsidR="00A662E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rurale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ed ha quindi dedicato </w:t>
      </w:r>
      <w:r w:rsidR="00A662E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una grande percentuale delle risorse alla competitività </w:t>
      </w:r>
      <w:r w:rsidR="00A662E5" w:rsidRPr="00A662E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delle aziende agricole impegnate nel biologico, nella zootecnia e nel benessere animale. Ugualmente sono </w:t>
      </w:r>
      <w:r w:rsidR="00A662E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state </w:t>
      </w:r>
      <w:r w:rsidR="00A662E5" w:rsidRPr="00A662E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fornite opportunità ai giovani di insediare nuove aziende e sostegno alla ripresa economica e sociale </w:t>
      </w:r>
      <w:r w:rsidR="00A662E5">
        <w:rPr>
          <w:rFonts w:asciiTheme="minorHAnsi" w:eastAsiaTheme="minorHAnsi" w:hAnsiTheme="minorHAnsi" w:cstheme="minorBidi"/>
          <w:sz w:val="24"/>
          <w:szCs w:val="24"/>
          <w:lang w:eastAsia="en-US"/>
        </w:rPr>
        <w:t>e dedicato attenzione a</w:t>
      </w:r>
      <w:r w:rsidR="00A662E5" w:rsidRPr="00A662E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l miglioramento dei servizi alla popolazione, allo </w:t>
      </w:r>
      <w:r w:rsidR="00A662E5">
        <w:rPr>
          <w:rFonts w:asciiTheme="minorHAnsi" w:eastAsiaTheme="minorHAnsi" w:hAnsiTheme="minorHAnsi" w:cstheme="minorBidi"/>
          <w:sz w:val="24"/>
          <w:szCs w:val="24"/>
          <w:lang w:eastAsia="en-US"/>
        </w:rPr>
        <w:t>sviluppo turistico</w:t>
      </w:r>
      <w:r w:rsidR="00A662E5" w:rsidRPr="00A662E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ed al  ripristino della viabilità minore.</w:t>
      </w:r>
    </w:p>
    <w:p w14:paraId="68166C19" w14:textId="7CC1AD01" w:rsidR="00C00A6D" w:rsidRDefault="00C00A6D" w:rsidP="00D14D7F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/>
          <w:sz w:val="24"/>
          <w:szCs w:val="24"/>
          <w:lang w:eastAsia="en-US"/>
        </w:rPr>
      </w:pPr>
    </w:p>
    <w:p w14:paraId="2FA8BD3F" w14:textId="4DEE85F5" w:rsidR="00B54C21" w:rsidRPr="0079136A" w:rsidRDefault="00B54C21" w:rsidP="00D14D7F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/>
          <w:sz w:val="24"/>
          <w:szCs w:val="24"/>
          <w:lang w:eastAsia="en-US"/>
        </w:rPr>
      </w:pPr>
      <w:r w:rsidRPr="0079136A">
        <w:rPr>
          <w:rFonts w:asciiTheme="minorHAnsi" w:eastAsiaTheme="minorHAnsi" w:hAnsiTheme="minorHAnsi"/>
          <w:sz w:val="24"/>
          <w:szCs w:val="24"/>
          <w:lang w:eastAsia="en-US"/>
        </w:rPr>
        <w:t>Al termine degli interventi tecnici è prevista una Tavola Rotonda, alla presenza dei rappresentanti territoriali delle associazioni agricole: è fondamentale che tutti gli attori coinvolti a vario titolo in questo processo di rinascita facciano “rete” e collaborino per orientare</w:t>
      </w:r>
      <w:r w:rsidR="007D018B">
        <w:rPr>
          <w:rFonts w:asciiTheme="minorHAnsi" w:eastAsiaTheme="minorHAnsi" w:hAnsiTheme="minorHAnsi"/>
          <w:sz w:val="24"/>
          <w:szCs w:val="24"/>
          <w:lang w:eastAsia="en-US"/>
        </w:rPr>
        <w:t xml:space="preserve"> e sostenere </w:t>
      </w:r>
      <w:r w:rsidR="00A75DEC">
        <w:rPr>
          <w:rFonts w:asciiTheme="minorHAnsi" w:eastAsiaTheme="minorHAnsi" w:hAnsiTheme="minorHAnsi"/>
          <w:sz w:val="24"/>
          <w:szCs w:val="24"/>
          <w:lang w:eastAsia="en-US"/>
        </w:rPr>
        <w:t xml:space="preserve">cittadini ed imprenditori alla migliore ed efficace utilizzazione di </w:t>
      </w:r>
      <w:r w:rsidR="0000422B" w:rsidRPr="0079136A">
        <w:rPr>
          <w:rFonts w:asciiTheme="minorHAnsi" w:eastAsiaTheme="minorHAnsi" w:hAnsiTheme="minorHAnsi"/>
          <w:sz w:val="24"/>
          <w:szCs w:val="24"/>
          <w:lang w:eastAsia="en-US"/>
        </w:rPr>
        <w:t>queste risorse.</w:t>
      </w:r>
    </w:p>
    <w:p w14:paraId="05EAB6F2" w14:textId="62720D8E" w:rsidR="00D14D7F" w:rsidRPr="0079136A" w:rsidRDefault="00280961" w:rsidP="00D14D7F">
      <w:pPr>
        <w:spacing w:after="0" w:line="240" w:lineRule="auto"/>
        <w:jc w:val="both"/>
        <w:rPr>
          <w:sz w:val="24"/>
          <w:szCs w:val="24"/>
        </w:rPr>
      </w:pPr>
      <w:r w:rsidRPr="0079136A">
        <w:rPr>
          <w:sz w:val="24"/>
          <w:szCs w:val="24"/>
        </w:rPr>
        <w:t>A</w:t>
      </w:r>
      <w:r w:rsidR="00D14D7F" w:rsidRPr="0079136A">
        <w:rPr>
          <w:sz w:val="24"/>
          <w:szCs w:val="24"/>
        </w:rPr>
        <w:t xml:space="preserve">mpio spazio verrà riservato </w:t>
      </w:r>
      <w:r w:rsidR="0000422B" w:rsidRPr="0079136A">
        <w:rPr>
          <w:sz w:val="24"/>
          <w:szCs w:val="24"/>
        </w:rPr>
        <w:t xml:space="preserve">anche </w:t>
      </w:r>
      <w:r w:rsidR="00D14D7F" w:rsidRPr="0079136A">
        <w:rPr>
          <w:sz w:val="24"/>
          <w:szCs w:val="24"/>
        </w:rPr>
        <w:t>al dibattito e alle domande da</w:t>
      </w:r>
      <w:r w:rsidR="007D018B">
        <w:rPr>
          <w:sz w:val="24"/>
          <w:szCs w:val="24"/>
        </w:rPr>
        <w:t xml:space="preserve">l pubblico, per favorire </w:t>
      </w:r>
      <w:r w:rsidR="00D14D7F" w:rsidRPr="0079136A">
        <w:rPr>
          <w:sz w:val="24"/>
          <w:szCs w:val="24"/>
        </w:rPr>
        <w:t>un confronto costruttivo e pratico</w:t>
      </w:r>
      <w:r w:rsidR="007D018B">
        <w:rPr>
          <w:sz w:val="24"/>
          <w:szCs w:val="24"/>
        </w:rPr>
        <w:t xml:space="preserve">, finalizzato a </w:t>
      </w:r>
      <w:r w:rsidR="00D14D7F" w:rsidRPr="0079136A">
        <w:rPr>
          <w:sz w:val="24"/>
          <w:szCs w:val="24"/>
        </w:rPr>
        <w:t xml:space="preserve">consentire agli interessati la predisposizione di progetti corretti ed </w:t>
      </w:r>
      <w:r w:rsidR="007D018B">
        <w:rPr>
          <w:sz w:val="24"/>
          <w:szCs w:val="24"/>
        </w:rPr>
        <w:t xml:space="preserve">utili </w:t>
      </w:r>
      <w:r w:rsidR="00F61BFF">
        <w:rPr>
          <w:sz w:val="24"/>
          <w:szCs w:val="24"/>
        </w:rPr>
        <w:t>alla realizzazione di validi investimenti</w:t>
      </w:r>
      <w:r w:rsidR="00D14D7F" w:rsidRPr="0079136A">
        <w:rPr>
          <w:sz w:val="24"/>
          <w:szCs w:val="24"/>
        </w:rPr>
        <w:t>.</w:t>
      </w:r>
    </w:p>
    <w:p w14:paraId="18790283" w14:textId="77777777" w:rsidR="00D14D7F" w:rsidRPr="0079136A" w:rsidRDefault="00D14D7F" w:rsidP="00D14D7F">
      <w:pPr>
        <w:spacing w:after="0" w:line="240" w:lineRule="auto"/>
        <w:jc w:val="both"/>
        <w:rPr>
          <w:sz w:val="24"/>
          <w:szCs w:val="24"/>
        </w:rPr>
      </w:pPr>
      <w:r w:rsidRPr="0079136A">
        <w:rPr>
          <w:sz w:val="24"/>
          <w:szCs w:val="24"/>
        </w:rPr>
        <w:t>La partecipazione è gratuita.</w:t>
      </w:r>
    </w:p>
    <w:p w14:paraId="7B9B3841" w14:textId="77777777" w:rsidR="0059651F" w:rsidRPr="0079136A" w:rsidRDefault="0059651F" w:rsidP="00D14D7F">
      <w:pPr>
        <w:spacing w:after="0" w:line="240" w:lineRule="auto"/>
        <w:rPr>
          <w:sz w:val="24"/>
          <w:szCs w:val="24"/>
        </w:rPr>
      </w:pPr>
    </w:p>
    <w:sectPr w:rsidR="0059651F" w:rsidRPr="0079136A" w:rsidSect="00D31438">
      <w:headerReference w:type="default" r:id="rId8"/>
      <w:footerReference w:type="default" r:id="rId9"/>
      <w:type w:val="nextColumn"/>
      <w:pgSz w:w="11906" w:h="16838"/>
      <w:pgMar w:top="993" w:right="1134" w:bottom="1134" w:left="283" w:header="284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483C8" w14:textId="77777777" w:rsidR="00D31438" w:rsidRDefault="00D31438" w:rsidP="00D31438">
      <w:pPr>
        <w:spacing w:after="0" w:line="240" w:lineRule="auto"/>
      </w:pPr>
      <w:r>
        <w:separator/>
      </w:r>
    </w:p>
  </w:endnote>
  <w:endnote w:type="continuationSeparator" w:id="0">
    <w:p w14:paraId="462EE2AD" w14:textId="77777777" w:rsidR="00D31438" w:rsidRDefault="00D31438" w:rsidP="00D3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96D25" w14:textId="6EA57B1D" w:rsidR="00D31438" w:rsidRDefault="00D31438">
    <w:pPr>
      <w:pStyle w:val="Pidipagina"/>
    </w:pPr>
    <w:r>
      <w:rPr>
        <w:noProof/>
        <w:lang w:eastAsia="it-IT"/>
      </w:rPr>
      <w:drawing>
        <wp:inline distT="0" distB="0" distL="0" distR="0" wp14:anchorId="192B600A" wp14:editId="6C465DBC">
          <wp:extent cx="6120130" cy="378768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7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13FCA" w14:textId="77777777" w:rsidR="00D31438" w:rsidRDefault="00D31438" w:rsidP="00D31438">
      <w:pPr>
        <w:spacing w:after="0" w:line="240" w:lineRule="auto"/>
      </w:pPr>
      <w:r>
        <w:separator/>
      </w:r>
    </w:p>
  </w:footnote>
  <w:footnote w:type="continuationSeparator" w:id="0">
    <w:p w14:paraId="6E0D1A03" w14:textId="77777777" w:rsidR="00D31438" w:rsidRDefault="00D31438" w:rsidP="00D3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7ABFA" w14:textId="66B67F03" w:rsidR="00D31438" w:rsidRDefault="00D31438">
    <w:pPr>
      <w:pStyle w:val="Intestazione"/>
    </w:pPr>
    <w:r>
      <w:rPr>
        <w:noProof/>
        <w:lang w:eastAsia="it-IT"/>
      </w:rPr>
      <w:drawing>
        <wp:inline distT="0" distB="0" distL="0" distR="0" wp14:anchorId="2B4E04DC" wp14:editId="1F0D879F">
          <wp:extent cx="1130157" cy="108692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896" cy="1087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93F9B"/>
    <w:multiLevelType w:val="hybridMultilevel"/>
    <w:tmpl w:val="B044AE52"/>
    <w:lvl w:ilvl="0" w:tplc="0410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0F"/>
    <w:rsid w:val="0000422B"/>
    <w:rsid w:val="000B2094"/>
    <w:rsid w:val="00227D4A"/>
    <w:rsid w:val="002310FB"/>
    <w:rsid w:val="00280961"/>
    <w:rsid w:val="003125DF"/>
    <w:rsid w:val="0059651F"/>
    <w:rsid w:val="006A3A84"/>
    <w:rsid w:val="0079136A"/>
    <w:rsid w:val="007D018B"/>
    <w:rsid w:val="009619F3"/>
    <w:rsid w:val="00A662E5"/>
    <w:rsid w:val="00A75DEC"/>
    <w:rsid w:val="00B54C21"/>
    <w:rsid w:val="00C00A6D"/>
    <w:rsid w:val="00C20133"/>
    <w:rsid w:val="00CA410F"/>
    <w:rsid w:val="00D14D7F"/>
    <w:rsid w:val="00D31438"/>
    <w:rsid w:val="00E87021"/>
    <w:rsid w:val="00F6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0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14D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14D7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D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14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1438"/>
  </w:style>
  <w:style w:type="paragraph" w:styleId="Pidipagina">
    <w:name w:val="footer"/>
    <w:basedOn w:val="Normale"/>
    <w:link w:val="PidipaginaCarattere"/>
    <w:uiPriority w:val="99"/>
    <w:unhideWhenUsed/>
    <w:rsid w:val="00D314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14D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14D7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D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14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1438"/>
  </w:style>
  <w:style w:type="paragraph" w:styleId="Pidipagina">
    <w:name w:val="footer"/>
    <w:basedOn w:val="Normale"/>
    <w:link w:val="PidipaginaCarattere"/>
    <w:uiPriority w:val="99"/>
    <w:unhideWhenUsed/>
    <w:rsid w:val="00D314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Donatella Consolandi</cp:lastModifiedBy>
  <cp:revision>2</cp:revision>
  <dcterms:created xsi:type="dcterms:W3CDTF">2018-10-14T15:29:00Z</dcterms:created>
  <dcterms:modified xsi:type="dcterms:W3CDTF">2018-10-14T15:29:00Z</dcterms:modified>
</cp:coreProperties>
</file>