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AB737" w14:textId="6E30EB22" w:rsidR="00CA45A9" w:rsidRDefault="00CA45A9" w:rsidP="00CA45A9">
      <w:pPr>
        <w:jc w:val="center"/>
        <w:rPr>
          <w:b/>
          <w:bCs/>
          <w:sz w:val="28"/>
          <w:szCs w:val="28"/>
        </w:rPr>
      </w:pPr>
      <w:r>
        <w:rPr>
          <w:noProof/>
        </w:rPr>
        <w:drawing>
          <wp:inline distT="0" distB="0" distL="0" distR="0" wp14:anchorId="65B95C47" wp14:editId="22D41A2C">
            <wp:extent cx="5679221" cy="831273"/>
            <wp:effectExtent l="0" t="0" r="0" b="6985"/>
            <wp:docPr id="1" name="Immagine 1" descr="Immagine che contiene testo, schermata,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mappa&#10;&#10;Descrizione generata automaticamente"/>
                    <pic:cNvPicPr/>
                  </pic:nvPicPr>
                  <pic:blipFill rotWithShape="1">
                    <a:blip r:embed="rId4">
                      <a:extLst>
                        <a:ext uri="{28A0092B-C50C-407E-A947-70E740481C1C}">
                          <a14:useLocalDpi xmlns:a14="http://schemas.microsoft.com/office/drawing/2010/main" val="0"/>
                        </a:ext>
                      </a:extLst>
                    </a:blip>
                    <a:srcRect l="2266" t="2233" r="8122" b="88498"/>
                    <a:stretch>
                      <a:fillRect/>
                    </a:stretch>
                  </pic:blipFill>
                  <pic:spPr bwMode="auto">
                    <a:xfrm>
                      <a:off x="0" y="0"/>
                      <a:ext cx="5773515" cy="845075"/>
                    </a:xfrm>
                    <a:prstGeom prst="rect">
                      <a:avLst/>
                    </a:prstGeom>
                    <a:ln>
                      <a:noFill/>
                    </a:ln>
                    <a:extLst>
                      <a:ext uri="{53640926-AAD7-44D8-BBD7-CCE9431645EC}">
                        <a14:shadowObscured xmlns:a14="http://schemas.microsoft.com/office/drawing/2010/main"/>
                      </a:ext>
                    </a:extLst>
                  </pic:spPr>
                </pic:pic>
              </a:graphicData>
            </a:graphic>
          </wp:inline>
        </w:drawing>
      </w:r>
    </w:p>
    <w:p w14:paraId="43E34666" w14:textId="77777777" w:rsidR="00CA45A9" w:rsidRDefault="00CA45A9" w:rsidP="00CA45A9">
      <w:pPr>
        <w:jc w:val="center"/>
        <w:rPr>
          <w:b/>
          <w:bCs/>
          <w:sz w:val="28"/>
          <w:szCs w:val="28"/>
        </w:rPr>
      </w:pPr>
    </w:p>
    <w:p w14:paraId="62DD6FB6" w14:textId="77777777" w:rsidR="00CA45A9" w:rsidRDefault="00CA45A9" w:rsidP="00CA45A9">
      <w:pPr>
        <w:jc w:val="center"/>
        <w:rPr>
          <w:b/>
          <w:bCs/>
          <w:sz w:val="40"/>
          <w:szCs w:val="40"/>
        </w:rPr>
      </w:pPr>
      <w:r w:rsidRPr="00CA45A9">
        <w:rPr>
          <w:b/>
          <w:bCs/>
          <w:sz w:val="40"/>
          <w:szCs w:val="40"/>
        </w:rPr>
        <w:t xml:space="preserve">RAPPORTO 2025 </w:t>
      </w:r>
    </w:p>
    <w:p w14:paraId="0C294CDC" w14:textId="0B4EA35A" w:rsidR="00851A2D" w:rsidRPr="00CA45A9" w:rsidRDefault="00CA45A9" w:rsidP="00CA45A9">
      <w:pPr>
        <w:jc w:val="center"/>
        <w:rPr>
          <w:b/>
          <w:bCs/>
          <w:sz w:val="40"/>
          <w:szCs w:val="40"/>
        </w:rPr>
      </w:pPr>
      <w:r w:rsidRPr="00CA45A9">
        <w:rPr>
          <w:b/>
          <w:bCs/>
          <w:sz w:val="40"/>
          <w:szCs w:val="40"/>
        </w:rPr>
        <w:t>SULL’INDUSTRIA MARCHIGIANA</w:t>
      </w:r>
    </w:p>
    <w:p w14:paraId="5C0531F4" w14:textId="77777777" w:rsidR="00CA45A9" w:rsidRDefault="00CA45A9" w:rsidP="00CA45A9">
      <w:pPr>
        <w:jc w:val="center"/>
      </w:pPr>
    </w:p>
    <w:p w14:paraId="255EB9A2" w14:textId="77777777" w:rsidR="00E62A2D" w:rsidRDefault="00E62A2D" w:rsidP="00CA45A9">
      <w:pPr>
        <w:jc w:val="center"/>
      </w:pPr>
    </w:p>
    <w:p w14:paraId="14182357" w14:textId="6265964C" w:rsidR="00CA45A9" w:rsidRPr="006E0A52" w:rsidRDefault="00CA45A9" w:rsidP="00CA45A9">
      <w:pPr>
        <w:jc w:val="center"/>
        <w:rPr>
          <w:sz w:val="28"/>
          <w:szCs w:val="28"/>
        </w:rPr>
      </w:pPr>
      <w:r w:rsidRPr="006E0A52">
        <w:rPr>
          <w:sz w:val="28"/>
          <w:szCs w:val="28"/>
        </w:rPr>
        <w:t>Sintesi</w:t>
      </w:r>
    </w:p>
    <w:p w14:paraId="29847F00" w14:textId="77777777" w:rsidR="00E62A2D" w:rsidRDefault="00E62A2D" w:rsidP="00CA45A9">
      <w:pPr>
        <w:jc w:val="both"/>
      </w:pPr>
    </w:p>
    <w:p w14:paraId="460DA7D8" w14:textId="77777777" w:rsidR="00E62A2D" w:rsidRDefault="00E62A2D" w:rsidP="00CA45A9">
      <w:pPr>
        <w:jc w:val="both"/>
      </w:pPr>
    </w:p>
    <w:p w14:paraId="01D33F9E" w14:textId="77777777" w:rsidR="00E62A2D" w:rsidRPr="00E62A2D" w:rsidRDefault="00E62A2D" w:rsidP="00E62A2D">
      <w:pPr>
        <w:pBdr>
          <w:bottom w:val="single" w:sz="4" w:space="1" w:color="auto"/>
        </w:pBdr>
        <w:jc w:val="both"/>
        <w:rPr>
          <w:b/>
          <w:bCs/>
        </w:rPr>
      </w:pPr>
      <w:r w:rsidRPr="00E62A2D">
        <w:rPr>
          <w:b/>
          <w:bCs/>
        </w:rPr>
        <w:t xml:space="preserve">Executive </w:t>
      </w:r>
      <w:proofErr w:type="spellStart"/>
      <w:r w:rsidRPr="00E62A2D">
        <w:rPr>
          <w:b/>
          <w:bCs/>
        </w:rPr>
        <w:t>Summary</w:t>
      </w:r>
      <w:proofErr w:type="spellEnd"/>
    </w:p>
    <w:p w14:paraId="7559B671" w14:textId="1DDAF5F3" w:rsidR="00C866A5" w:rsidRPr="00C866A5" w:rsidRDefault="00C866A5" w:rsidP="00C866A5">
      <w:pPr>
        <w:jc w:val="both"/>
      </w:pPr>
      <w:r w:rsidRPr="00C866A5">
        <w:t xml:space="preserve">Il </w:t>
      </w:r>
      <w:r w:rsidRPr="00C866A5">
        <w:rPr>
          <w:b/>
          <w:bCs/>
        </w:rPr>
        <w:t>Rapporto 2025</w:t>
      </w:r>
      <w:r>
        <w:rPr>
          <w:b/>
          <w:bCs/>
        </w:rPr>
        <w:t xml:space="preserve"> </w:t>
      </w:r>
      <w:r w:rsidRPr="00C866A5">
        <w:t>evidenzia come l'industria marchigiana stia affrontando una fase di profonda trasformazione in un contesto internazionale caratterizzato da elevata incertezza geopolitica, rallentamento del commercio mondiale e crescente pressione competitiva. Nonostante queste difficoltà, il sistema produttivo regionale ha mostrato nel corso del 2025 una buona capacità di adattamento, sostenuta dalla graduale ripresa dell'attività manifatturiera, dalla tenuta del mercato del lavoro e da investimenti sempre più orientati al rafforzamento della competitività.</w:t>
      </w:r>
    </w:p>
    <w:p w14:paraId="0DB90ED4" w14:textId="77777777" w:rsidR="00C866A5" w:rsidRPr="00C866A5" w:rsidRDefault="00C866A5" w:rsidP="00C866A5">
      <w:pPr>
        <w:jc w:val="both"/>
      </w:pPr>
      <w:r w:rsidRPr="00C866A5">
        <w:t>L'analisi mette tuttavia in luce una crescente eterogeneità del tessuto produttivo. Accanto a comparti che hanno consolidato la propria capacità competitiva, altri continuano a confrontarsi con la debolezza della domanda internazionale e con una concorrenza sempre più intensa. In questo scenario, emerge con forza che la competitività non dipende più soltanto dalla capacità di investire, ma dalla qualità degli investimenti e dalla loro integrazione con competenze, innovazione organizzativa e visione strategica.</w:t>
      </w:r>
    </w:p>
    <w:p w14:paraId="0F7AA593" w14:textId="77777777" w:rsidR="00C866A5" w:rsidRPr="00C866A5" w:rsidRDefault="00C866A5" w:rsidP="00C866A5">
      <w:pPr>
        <w:jc w:val="both"/>
      </w:pPr>
      <w:r w:rsidRPr="00C866A5">
        <w:t>Gli approfondimenti del Rapporto convergono su un messaggio comune. Le competenze verdi, la diffusione delle pratiche ESG e l'intelligenza artificiale rappresentano oggi fattori centrali della competitività, ma il loro impatto dipende dalla capacità delle imprese di trasformare l'adozione di nuovi strumenti in un effettivo cambiamento organizzativo e strategico. Le evidenze mostrano infatti che molte imprese hanno già avviato percorsi di innovazione, ma solo una parte riesce a tradurli in nuovi modelli di business, migliori performance e vantaggi competitivi duraturi.</w:t>
      </w:r>
    </w:p>
    <w:p w14:paraId="6F2EA19C" w14:textId="77777777" w:rsidR="00C866A5" w:rsidRPr="00C866A5" w:rsidRDefault="00C866A5" w:rsidP="00C866A5">
      <w:pPr>
        <w:jc w:val="both"/>
      </w:pPr>
      <w:r w:rsidRPr="00C866A5">
        <w:t xml:space="preserve">Nel complesso, il Rapporto evidenzia che la competitività dell'industria marchigiana dipenderà sempre meno dalla disponibilità di singoli fattori produttivi e sempre più dalla capacità delle imprese di combinare innovazione, competenze e organizzazione all'interno di un percorso di trasformazione continuo. La crescita futura sarà quindi determinata non tanto dall'intensità degli investimenti, quanto dalla loro qualità e dalla capacità di tradurli in maggiore produttività, resilienza e valore aggiunto. </w:t>
      </w:r>
    </w:p>
    <w:p w14:paraId="3C15CFE9" w14:textId="4E4A8845" w:rsidR="00BB2D1D" w:rsidRPr="00BB2D1D" w:rsidRDefault="00CA45A9" w:rsidP="00CA45A9">
      <w:pPr>
        <w:pBdr>
          <w:bottom w:val="single" w:sz="4" w:space="1" w:color="auto"/>
        </w:pBdr>
        <w:jc w:val="both"/>
        <w:rPr>
          <w:b/>
          <w:bCs/>
        </w:rPr>
      </w:pPr>
      <w:r>
        <w:rPr>
          <w:b/>
          <w:bCs/>
        </w:rPr>
        <w:lastRenderedPageBreak/>
        <w:t>Il q</w:t>
      </w:r>
      <w:r w:rsidR="00BB2D1D" w:rsidRPr="00BB2D1D">
        <w:rPr>
          <w:b/>
          <w:bCs/>
        </w:rPr>
        <w:t>uadro internazionale</w:t>
      </w:r>
    </w:p>
    <w:p w14:paraId="2BD5E13B" w14:textId="77777777" w:rsidR="00BB2D1D" w:rsidRPr="00BB2D1D" w:rsidRDefault="00BB2D1D" w:rsidP="00CA45A9">
      <w:pPr>
        <w:jc w:val="both"/>
      </w:pPr>
      <w:r w:rsidRPr="00BB2D1D">
        <w:t xml:space="preserve">Nel 2025 l’economia mondiale ha continuato a mostrare dinamiche differenziate tra le principali aree. L’Europa è rimasta in una fase di crescita debole, penalizzata dalla fragilità dell’industria, dal rallentamento degli investimenti e dall’incertezza geopolitica e commerciale. I consumi delle famiglie hanno rappresentato l’elemento più stabile, sostenuti dal recupero del potere d’acquisto favorito dalla discesa dell’inflazione. </w:t>
      </w:r>
    </w:p>
    <w:p w14:paraId="472E6821" w14:textId="77777777" w:rsidR="00BB2D1D" w:rsidRPr="00BB2D1D" w:rsidRDefault="00BB2D1D" w:rsidP="00CA45A9">
      <w:pPr>
        <w:jc w:val="both"/>
      </w:pPr>
      <w:r w:rsidRPr="00BB2D1D">
        <w:t xml:space="preserve">Negli Stati Uniti, l’attività economica ha mostrato una maggiore tenuta, grazie alla resilienza della domanda interna e agli investimenti industriali. La Cina ha invece confermato una forte espansione della produzione manifatturiera, nonostante la debolezza della domanda interna, la crisi immobiliare e le crescenti tensioni commerciali. Il divario tra la stagnazione industriale europea e la crescita della capacità produttiva cinese ha accresciuto la pressione competitiva sui mercati internazionali. </w:t>
      </w:r>
    </w:p>
    <w:p w14:paraId="5A5D8FB4" w14:textId="77777777" w:rsidR="00BB2D1D" w:rsidRPr="00BB2D1D" w:rsidRDefault="00BB2D1D" w:rsidP="00CA45A9">
      <w:pPr>
        <w:jc w:val="both"/>
      </w:pPr>
      <w:r w:rsidRPr="00BB2D1D">
        <w:t xml:space="preserve">Le prospettive per il 2026-2027 restano caratterizzate da elevata incertezza. Alle tensioni commerciali e ai dazi introdotti dagli Stati Uniti si aggiungono i rischi geopolitici in Medio Oriente, con possibili effetti sui prezzi energetici, sui costi di trasporto e sulla fiducia di imprese e famiglie. Il commercio mondiale è pertanto atteso in crescita contenuta, in un contesto di crescente frammentazione delle catene globali del valore. </w:t>
      </w:r>
    </w:p>
    <w:p w14:paraId="525EE4CD" w14:textId="77777777" w:rsidR="00BB2D1D" w:rsidRPr="00BB2D1D" w:rsidRDefault="00BB2D1D" w:rsidP="00CA45A9">
      <w:pPr>
        <w:jc w:val="both"/>
      </w:pPr>
      <w:r w:rsidRPr="00BB2D1D">
        <w:t xml:space="preserve">In questo scenario, l’Europa risulta particolarmente esposta per la sua dipendenza energetica e per la specializzazione in comparti manifatturieri sensibili alla concorrenza internazionale. Diventano quindi centrali il rafforzamento degli investimenti in innovazione, la diversificazione dei mercati e la definizione di politiche industriali comuni. </w:t>
      </w:r>
    </w:p>
    <w:p w14:paraId="5754043B" w14:textId="77777777" w:rsidR="00BB2D1D" w:rsidRDefault="00BB2D1D" w:rsidP="00CA45A9">
      <w:pPr>
        <w:jc w:val="both"/>
      </w:pPr>
    </w:p>
    <w:p w14:paraId="3E4261D9" w14:textId="59E9C921" w:rsidR="00BB2D1D" w:rsidRPr="00BB2D1D" w:rsidRDefault="00CA45A9" w:rsidP="00CA45A9">
      <w:pPr>
        <w:pBdr>
          <w:bottom w:val="single" w:sz="4" w:space="1" w:color="auto"/>
        </w:pBdr>
        <w:jc w:val="both"/>
        <w:rPr>
          <w:b/>
          <w:bCs/>
        </w:rPr>
      </w:pPr>
      <w:r>
        <w:rPr>
          <w:b/>
          <w:bCs/>
        </w:rPr>
        <w:t>Il q</w:t>
      </w:r>
      <w:r w:rsidR="00BB2D1D" w:rsidRPr="00BB2D1D">
        <w:rPr>
          <w:b/>
          <w:bCs/>
        </w:rPr>
        <w:t>uadro nazionale</w:t>
      </w:r>
    </w:p>
    <w:p w14:paraId="13B0A14B" w14:textId="77777777" w:rsidR="00BB2D1D" w:rsidRPr="00BB2D1D" w:rsidRDefault="00BB2D1D" w:rsidP="00CA45A9">
      <w:pPr>
        <w:jc w:val="both"/>
      </w:pPr>
      <w:r w:rsidRPr="00BB2D1D">
        <w:t>Nel 2025 l’economia italiana ha confermato una crescita moderata, sostenuta principalmente dai consumi delle famiglie e dal graduale recupero del potere d’acquisto favorito dal rallentamento dell’inflazione. Il contributo della domanda interna è tuttavia rimasto limitato dalla debole dinamica degli investimenti e dalla persistente incertezza del contesto internazionale, che ha frenato le decisioni delle imprese. Le esportazioni hanno risentito della debolezza della domanda europea e dell'acuirsi delle tensioni commerciali, mentre il settore manifatturiero ha continuato a evidenziare segnali di difficoltà.</w:t>
      </w:r>
    </w:p>
    <w:p w14:paraId="7A287D74" w14:textId="77777777" w:rsidR="00BB2D1D" w:rsidRPr="00BB2D1D" w:rsidRDefault="00BB2D1D" w:rsidP="00CA45A9">
      <w:pPr>
        <w:jc w:val="both"/>
      </w:pPr>
      <w:r w:rsidRPr="00BB2D1D">
        <w:t>Sul fronte monetario, l'avvio della riduzione dei tassi di interesse da parte della Banca Centrale Europea ha contribuito ad allentare, seppur gradualmente, le condizioni finanziarie. Ciò non è stato ancora sufficiente a rilanciare in misura significativa gli investimenti produttivi, che restano condizionati dall'elevato grado di incertezza e dalla prudenza delle imprese.</w:t>
      </w:r>
    </w:p>
    <w:p w14:paraId="7E61C8B8" w14:textId="77777777" w:rsidR="00BB2D1D" w:rsidRPr="00BB2D1D" w:rsidRDefault="00BB2D1D" w:rsidP="00CA45A9">
      <w:pPr>
        <w:jc w:val="both"/>
      </w:pPr>
      <w:r w:rsidRPr="00BB2D1D">
        <w:t>Il mercato del lavoro ha continuato a rappresentare uno dei principali elementi di tenuta dell'economia italiana. L'occupazione ha raggiunto livelli storicamente elevati, sostenendo il reddito disponibile delle famiglie e contribuendo alla stabilità dei consumi. Permangono tuttavia criticità strutturali, legate alla debole crescita della produttività e al rallentamento della produzione industriale, che continua a risentire della contrazione della domanda estera e della perdita di competitività di alcuni comparti.</w:t>
      </w:r>
    </w:p>
    <w:p w14:paraId="085E252C" w14:textId="77777777" w:rsidR="00BB2D1D" w:rsidRPr="00BB2D1D" w:rsidRDefault="00BB2D1D" w:rsidP="00CA45A9">
      <w:pPr>
        <w:jc w:val="both"/>
      </w:pPr>
      <w:r w:rsidRPr="00BB2D1D">
        <w:t xml:space="preserve">Nel complesso, il quadro nazionale evidenzia un'economia che mantiene una moderata capacità di crescita, ma che rimane fortemente esposta all'evoluzione del contesto internazionale. In </w:t>
      </w:r>
      <w:r w:rsidRPr="00BB2D1D">
        <w:lastRenderedPageBreak/>
        <w:t>questa fase, il rafforzamento della competitività delle imprese, attraverso investimenti in innovazione, digitalizzazione e transizione ecologica, rappresenta una condizione essenziale per sostenere la crescita nel medio periodo.</w:t>
      </w:r>
    </w:p>
    <w:p w14:paraId="5613A89A" w14:textId="77777777" w:rsidR="00BB2D1D" w:rsidRDefault="00BB2D1D" w:rsidP="00CA45A9">
      <w:pPr>
        <w:jc w:val="both"/>
      </w:pPr>
    </w:p>
    <w:p w14:paraId="461C7DB2" w14:textId="77777777" w:rsidR="00E62A2D" w:rsidRDefault="00E62A2D" w:rsidP="00CA45A9">
      <w:pPr>
        <w:jc w:val="both"/>
      </w:pPr>
    </w:p>
    <w:p w14:paraId="4435D934" w14:textId="77777777" w:rsidR="00C866A5" w:rsidRDefault="00C866A5" w:rsidP="00CA45A9">
      <w:pPr>
        <w:jc w:val="both"/>
      </w:pPr>
    </w:p>
    <w:p w14:paraId="7059CEE0" w14:textId="21BFCC77" w:rsidR="00BB2D1D" w:rsidRPr="00BB2D1D" w:rsidRDefault="00BB2D1D" w:rsidP="00CA45A9">
      <w:pPr>
        <w:pBdr>
          <w:bottom w:val="single" w:sz="4" w:space="1" w:color="auto"/>
        </w:pBdr>
        <w:jc w:val="both"/>
        <w:rPr>
          <w:b/>
          <w:bCs/>
        </w:rPr>
      </w:pPr>
      <w:r w:rsidRPr="00BB2D1D">
        <w:rPr>
          <w:b/>
          <w:bCs/>
        </w:rPr>
        <w:t>Il quadro regionale</w:t>
      </w:r>
    </w:p>
    <w:p w14:paraId="3FB8CFAB" w14:textId="77777777" w:rsidR="00CA45A9" w:rsidRDefault="00CA45A9" w:rsidP="00CA45A9">
      <w:pPr>
        <w:jc w:val="both"/>
        <w:rPr>
          <w:b/>
          <w:bCs/>
        </w:rPr>
      </w:pPr>
    </w:p>
    <w:p w14:paraId="780692D7" w14:textId="78D5DE29" w:rsidR="00BB2D1D" w:rsidRPr="00BB2D1D" w:rsidRDefault="00BB2D1D" w:rsidP="00CA45A9">
      <w:pPr>
        <w:jc w:val="both"/>
        <w:rPr>
          <w:b/>
          <w:bCs/>
        </w:rPr>
      </w:pPr>
      <w:r w:rsidRPr="00BB2D1D">
        <w:rPr>
          <w:b/>
          <w:bCs/>
        </w:rPr>
        <w:t>Attività produttiva</w:t>
      </w:r>
    </w:p>
    <w:p w14:paraId="2F3C2FF4" w14:textId="77777777" w:rsidR="00BB2D1D" w:rsidRPr="00BB2D1D" w:rsidRDefault="00BB2D1D" w:rsidP="00CA45A9">
      <w:pPr>
        <w:jc w:val="both"/>
      </w:pPr>
      <w:r w:rsidRPr="00BB2D1D">
        <w:t>Nel 2025 l'industria manifatturiera marchigiana ha mostrato segnali di graduale recupero dopo la debolezza che aveva caratterizzato il 2024. Alla contrazione registrata nella prima parte dell'anno ha fatto seguito una progressiva ripresa dell'attività produttiva, che ha riportato la produzione su valori prossimi alla stabilità nella media dell'anno. Il miglioramento è stato favorito dall'attenuazione delle pressioni sui costi di produzione, dalla graduale normalizzazione delle condizioni finanziarie e da una moderata ripresa della domanda estera, pur in un contesto internazionale ancora caratterizzato da elevata incertezza.</w:t>
      </w:r>
    </w:p>
    <w:p w14:paraId="33086235" w14:textId="77777777" w:rsidR="00BB2D1D" w:rsidRPr="00BB2D1D" w:rsidRDefault="00BB2D1D" w:rsidP="00CA45A9">
      <w:pPr>
        <w:jc w:val="both"/>
      </w:pPr>
      <w:r w:rsidRPr="00BB2D1D">
        <w:t>La dinamica è risultata tuttavia molto differenziata tra i settori. Le performance migliori si sono registrate nell'alimentare, nella meccanica e nel comparto del legno-arredo, che hanno beneficiato di una domanda relativamente più vivace e di una maggiore capacità di innovazione. Permangono invece difficoltà nel sistema moda, in particolare nei comparti tessile-abbigliamento e calzature, che continuano a risentire della debolezza della domanda internazionale e della crescente pressione competitiva dei produttori esteri. Ne emerge un sistema manifatturiero che, pur mostrando una buona capacità di adattamento, evidenzia percorsi di sviluppo sempre più differenziati tra le filiere regionali.</w:t>
      </w:r>
    </w:p>
    <w:p w14:paraId="174BB3D6" w14:textId="77777777" w:rsidR="00CA45A9" w:rsidRDefault="00CA45A9" w:rsidP="00CA45A9">
      <w:pPr>
        <w:jc w:val="both"/>
      </w:pPr>
    </w:p>
    <w:p w14:paraId="65C9513F" w14:textId="3003A7DE" w:rsidR="00BB2D1D" w:rsidRPr="00BB2D1D" w:rsidRDefault="00BB2D1D" w:rsidP="00CA45A9">
      <w:pPr>
        <w:jc w:val="both"/>
        <w:rPr>
          <w:b/>
          <w:bCs/>
        </w:rPr>
      </w:pPr>
      <w:r w:rsidRPr="00BB2D1D">
        <w:rPr>
          <w:b/>
          <w:bCs/>
        </w:rPr>
        <w:t>Mercato interno e vendite all'estero</w:t>
      </w:r>
    </w:p>
    <w:p w14:paraId="773EBD31" w14:textId="77777777" w:rsidR="00BB2D1D" w:rsidRPr="00BB2D1D" w:rsidRDefault="00BB2D1D" w:rsidP="00CA45A9">
      <w:pPr>
        <w:jc w:val="both"/>
      </w:pPr>
      <w:r w:rsidRPr="00BB2D1D">
        <w:t>L'attività commerciale ha evidenziato un moderato miglioramento rispetto all'anno precedente, con una crescita delle vendite che ha interessato sia il mercato interno sia quello estero. Sul mercato nazionale, il recupero del potere d'acquisto delle famiglie e la stabilizzazione dell'inflazione hanno contribuito a sostenere la domanda, sebbene i consumi rimangano improntati alla cautela. Sul fronte internazionale, la ripresa degli ordinativi ha consentito un lieve rafforzamento delle esportazioni, senza tuttavia compensare pienamente la debolezza di alcuni mercati di riferimento.</w:t>
      </w:r>
    </w:p>
    <w:p w14:paraId="3CED02CD" w14:textId="77777777" w:rsidR="00BB2D1D" w:rsidRPr="00BB2D1D" w:rsidRDefault="00BB2D1D" w:rsidP="00CA45A9">
      <w:pPr>
        <w:jc w:val="both"/>
      </w:pPr>
      <w:r w:rsidRPr="00BB2D1D">
        <w:t>Anche in questo caso emergono marcate differenze settoriali. Le imprese maggiormente orientate all'innovazione e presenti in comparti a più elevato contenuto tecnologico hanno mostrato una migliore capacità di consolidare la propria presenza sui mercati internazionali, mentre le produzioni più tradizionali continuano a confrontarsi con una domanda debole e con una concorrenza crescente. Le aspettative delle imprese restano pertanto improntate alla prudenza, riflettendo un quadro internazionale ancora instabile e caratterizzato da tensioni geopolitiche e commerciali.</w:t>
      </w:r>
    </w:p>
    <w:p w14:paraId="5BDC7E9E" w14:textId="77777777" w:rsidR="00CA45A9" w:rsidRDefault="00CA45A9" w:rsidP="00CA45A9">
      <w:pPr>
        <w:jc w:val="both"/>
      </w:pPr>
    </w:p>
    <w:p w14:paraId="4103E0E8" w14:textId="27036DA4" w:rsidR="00BB2D1D" w:rsidRPr="00BB2D1D" w:rsidRDefault="00CA45A9" w:rsidP="00CA45A9">
      <w:pPr>
        <w:jc w:val="both"/>
        <w:rPr>
          <w:b/>
          <w:bCs/>
        </w:rPr>
      </w:pPr>
      <w:r>
        <w:rPr>
          <w:b/>
          <w:bCs/>
        </w:rPr>
        <w:lastRenderedPageBreak/>
        <w:t>Il m</w:t>
      </w:r>
      <w:r w:rsidR="00BB2D1D" w:rsidRPr="00BB2D1D">
        <w:rPr>
          <w:b/>
          <w:bCs/>
        </w:rPr>
        <w:t>ercato del lavoro</w:t>
      </w:r>
    </w:p>
    <w:p w14:paraId="4CD7F787" w14:textId="77777777" w:rsidR="00BB2D1D" w:rsidRPr="00BB2D1D" w:rsidRDefault="00BB2D1D" w:rsidP="00CA45A9">
      <w:pPr>
        <w:jc w:val="both"/>
      </w:pPr>
      <w:r w:rsidRPr="00BB2D1D">
        <w:t>Il mercato del lavoro regionale ha continuato a rappresentare uno dei principali elementi di tenuta dell'economia marchigiana. Nonostante il rallentamento dell'attività produttiva osservato nella prima parte dell'anno, la domanda di lavoro è rimasta sostenuta, consentendo di mantenere livelli occupazionali elevati e confermando la capacità delle imprese di preservare il capitale umano anche nelle fasi di maggiore incertezza.</w:t>
      </w:r>
    </w:p>
    <w:p w14:paraId="143FC851" w14:textId="77777777" w:rsidR="00BB2D1D" w:rsidRPr="00BB2D1D" w:rsidRDefault="00BB2D1D" w:rsidP="00CA45A9">
      <w:pPr>
        <w:jc w:val="both"/>
      </w:pPr>
      <w:r w:rsidRPr="00BB2D1D">
        <w:t>Accanto a questi elementi positivi, permangono tuttavia alcune criticità. Le difficoltà del sistema moda si riflettono in un maggiore ricorso agli strumenti di integrazione salariale, mentre in diversi comparti continua ad emergere il problema della disponibilità di competenze adeguate ai nuovi fabbisogni produttivi. La trasformazione digitale e la transizione ecologica stanno infatti modificando la domanda di professionalità, rendendo sempre più rilevanti gli investimenti in formazione e aggiornamento delle competenze.</w:t>
      </w:r>
    </w:p>
    <w:p w14:paraId="7CD464AD" w14:textId="77777777" w:rsidR="00CA45A9" w:rsidRDefault="00CA45A9" w:rsidP="00CA45A9">
      <w:pPr>
        <w:jc w:val="both"/>
      </w:pPr>
    </w:p>
    <w:p w14:paraId="5A3ED85C" w14:textId="64B74FBE" w:rsidR="00BB2D1D" w:rsidRPr="00BB2D1D" w:rsidRDefault="00CA45A9" w:rsidP="00CA45A9">
      <w:pPr>
        <w:jc w:val="both"/>
        <w:rPr>
          <w:b/>
          <w:bCs/>
        </w:rPr>
      </w:pPr>
      <w:r>
        <w:rPr>
          <w:b/>
          <w:bCs/>
        </w:rPr>
        <w:t>Gli i</w:t>
      </w:r>
      <w:r w:rsidR="00BB2D1D" w:rsidRPr="00BB2D1D">
        <w:rPr>
          <w:b/>
          <w:bCs/>
        </w:rPr>
        <w:t>nvestimenti</w:t>
      </w:r>
    </w:p>
    <w:p w14:paraId="37FF3689" w14:textId="77777777" w:rsidR="00BB2D1D" w:rsidRPr="00BB2D1D" w:rsidRDefault="00BB2D1D" w:rsidP="00CA45A9">
      <w:pPr>
        <w:jc w:val="both"/>
      </w:pPr>
      <w:r w:rsidRPr="00BB2D1D">
        <w:t>Nel 2025 le imprese marchigiane hanno mantenuto un orientamento positivo verso gli investimenti, pur in un quadro di maggiore prudenza rispetto agli anni precedenti. La progressiva riduzione dei tassi di interesse e il ridimensionamento delle tensioni sui costi hanno favorito la prosecuzione dei programmi già avviati, mentre l'incertezza economica e geopolitica ha indotto molte imprese a rinviare nuovi progetti di espansione.</w:t>
      </w:r>
    </w:p>
    <w:p w14:paraId="54DBFBF0" w14:textId="77777777" w:rsidR="00BB2D1D" w:rsidRPr="00BB2D1D" w:rsidRDefault="00BB2D1D" w:rsidP="00CA45A9">
      <w:pPr>
        <w:jc w:val="both"/>
      </w:pPr>
      <w:r w:rsidRPr="00BB2D1D">
        <w:t>Gli investimenti risultano sempre più orientati al rafforzamento della competitività piuttosto che all'aumento della capacità produttiva. Le imprese privilegiano infatti il rinnovamento degli impianti, la digitalizzazione dei processi, l'automazione e l'efficienza energetica, nella consapevolezza che la crescita futura dipenderà soprattutto dalla capacità di innovare e di aumentare la produttività. Questa evoluzione evidenzia come la competitività dell'industria marchigiana sia sempre più legata alla qualità degli investimenti piuttosto che alla loro sola intensità quantitativa.</w:t>
      </w:r>
    </w:p>
    <w:p w14:paraId="05B9DFA4" w14:textId="77777777" w:rsidR="00BB2D1D" w:rsidRDefault="00BB2D1D" w:rsidP="00CA45A9">
      <w:pPr>
        <w:jc w:val="both"/>
      </w:pPr>
    </w:p>
    <w:p w14:paraId="3B2BCDB2" w14:textId="77777777" w:rsidR="00C866A5" w:rsidRDefault="00C866A5" w:rsidP="00CA45A9">
      <w:pPr>
        <w:jc w:val="both"/>
      </w:pPr>
    </w:p>
    <w:p w14:paraId="305F6D27" w14:textId="44CA61EC" w:rsidR="00CA45A9" w:rsidRPr="00CA45A9" w:rsidRDefault="00CA45A9" w:rsidP="00CA45A9">
      <w:pPr>
        <w:pBdr>
          <w:bottom w:val="single" w:sz="4" w:space="1" w:color="auto"/>
        </w:pBdr>
        <w:jc w:val="both"/>
        <w:rPr>
          <w:b/>
          <w:bCs/>
        </w:rPr>
      </w:pPr>
      <w:r w:rsidRPr="00CA45A9">
        <w:rPr>
          <w:b/>
          <w:bCs/>
        </w:rPr>
        <w:t>Approfondimenti</w:t>
      </w:r>
    </w:p>
    <w:p w14:paraId="717064C2" w14:textId="77777777" w:rsidR="00CA45A9" w:rsidRDefault="00CA45A9" w:rsidP="00CA45A9">
      <w:pPr>
        <w:jc w:val="both"/>
        <w:rPr>
          <w:b/>
          <w:bCs/>
        </w:rPr>
      </w:pPr>
    </w:p>
    <w:p w14:paraId="54922847" w14:textId="231B82A9" w:rsidR="00BB2D1D" w:rsidRPr="00BB2D1D" w:rsidRDefault="00CA45A9" w:rsidP="00CA45A9">
      <w:pPr>
        <w:jc w:val="both"/>
        <w:rPr>
          <w:b/>
          <w:bCs/>
        </w:rPr>
      </w:pPr>
      <w:r>
        <w:rPr>
          <w:b/>
          <w:bCs/>
        </w:rPr>
        <w:t>Le “c</w:t>
      </w:r>
      <w:r w:rsidR="00BB2D1D" w:rsidRPr="00BB2D1D">
        <w:rPr>
          <w:b/>
          <w:bCs/>
        </w:rPr>
        <w:t>ompetenze verdi</w:t>
      </w:r>
      <w:r>
        <w:rPr>
          <w:b/>
          <w:bCs/>
        </w:rPr>
        <w:t>” nelle imprese marchigiane</w:t>
      </w:r>
    </w:p>
    <w:p w14:paraId="0620191E" w14:textId="77777777" w:rsidR="00BB2D1D" w:rsidRPr="00BB2D1D" w:rsidRDefault="00BB2D1D" w:rsidP="00CA45A9">
      <w:pPr>
        <w:jc w:val="both"/>
      </w:pPr>
      <w:r w:rsidRPr="00BB2D1D">
        <w:t>L’analisi mostra che le competenze verdi rappresentano ormai una componente rilevante del capitale umano e della capacità competitiva delle imprese marchigiane. La loro diffusione non riguarda soltanto i profili ambientali ed energetici, ma interessa anche funzioni tecniche, manageriali, commerciali e di governance, segnalando una progressiva integrazione della sostenibilità nei diversi ambiti organizzativi.</w:t>
      </w:r>
    </w:p>
    <w:p w14:paraId="187047E7" w14:textId="77777777" w:rsidR="00BB2D1D" w:rsidRPr="00BB2D1D" w:rsidRDefault="00BB2D1D" w:rsidP="00CA45A9">
      <w:pPr>
        <w:jc w:val="both"/>
      </w:pPr>
      <w:r w:rsidRPr="00BB2D1D">
        <w:t xml:space="preserve">Nel campione regionale, il 96,1% dei profili possiede almeno una green skill e il 79,4% ne presenta almeno due, con una media di 4,71 competenze per individuo, superiore al dato nazionale. Le competenze risultano più intense nei ruoli ESG, ambientali ed energetici e, soprattutto, nelle attività di ingegneria ambientale e autorizzazione. Il capitale umano osservato presenta livelli di </w:t>
      </w:r>
      <w:r w:rsidRPr="00BB2D1D">
        <w:lastRenderedPageBreak/>
        <w:t>istruzione elevati, ma anche una forte prevalenza maschile. Le donne, pur meno rappresentate, mostrano una dotazione media di competenze verdi superiore a quella degli uomini.</w:t>
      </w:r>
    </w:p>
    <w:p w14:paraId="26831EA5" w14:textId="77777777" w:rsidR="00BB2D1D" w:rsidRPr="00BB2D1D" w:rsidRDefault="00BB2D1D" w:rsidP="00CA45A9">
      <w:pPr>
        <w:jc w:val="both"/>
      </w:pPr>
      <w:r w:rsidRPr="00BB2D1D">
        <w:t>Anche a livello aziendale, la presenza di green skills nelle Marche risulta diffusa e leggermente superiore alla media italiana. Le grandi imprese mostrano la maggiore capacità di accumulare e organizzare tali competenze, ma emergono segnali significativi anche tra le microimprese e nelle aziende in una fase intermedia del proprio sviluppo. I livelli più elevati si osservano nei servizi ambientali, nelle attività professionali, scientifiche e tecniche e nelle costruzioni, mentre la manifattura, pur molto rappresentata, presenta una minore intensità media.</w:t>
      </w:r>
    </w:p>
    <w:p w14:paraId="0F3B5C7D" w14:textId="77777777" w:rsidR="00BB2D1D" w:rsidRPr="00BB2D1D" w:rsidRDefault="00BB2D1D" w:rsidP="00CA45A9">
      <w:pPr>
        <w:jc w:val="both"/>
      </w:pPr>
      <w:r w:rsidRPr="00BB2D1D">
        <w:t>Nel complesso, il quadro evidenzia una buona dotazione regionale di competenze orientate alla sostenibilità. La sfida consiste nel consolidarne la diffusione, ridurre i divari di genere e favorirne una maggiore integrazione nei settori e nelle imprese in cui la transizione verde appare ancora meno strutturata. I risultati devono comunque essere interpretati tenendo conto della natura selettiva e della dimensione contenuta del campione regionale.</w:t>
      </w:r>
    </w:p>
    <w:p w14:paraId="2F8BB3AA" w14:textId="77777777" w:rsidR="00BB2D1D" w:rsidRDefault="00BB2D1D" w:rsidP="00CA45A9">
      <w:pPr>
        <w:jc w:val="both"/>
      </w:pPr>
    </w:p>
    <w:p w14:paraId="001D402A" w14:textId="51975671" w:rsidR="00BB2D1D" w:rsidRPr="00BB2D1D" w:rsidRDefault="00CA45A9" w:rsidP="00CA45A9">
      <w:pPr>
        <w:jc w:val="both"/>
        <w:rPr>
          <w:b/>
          <w:bCs/>
        </w:rPr>
      </w:pPr>
      <w:r>
        <w:rPr>
          <w:b/>
          <w:bCs/>
        </w:rPr>
        <w:t>L’evoluzione delle p</w:t>
      </w:r>
      <w:r w:rsidR="00BB2D1D" w:rsidRPr="00BB2D1D">
        <w:rPr>
          <w:b/>
          <w:bCs/>
        </w:rPr>
        <w:t>ratiche ESG</w:t>
      </w:r>
      <w:r>
        <w:rPr>
          <w:b/>
          <w:bCs/>
        </w:rPr>
        <w:t xml:space="preserve"> tra il 2023 e il 2025</w:t>
      </w:r>
    </w:p>
    <w:p w14:paraId="7D333CA2" w14:textId="01E68126" w:rsidR="00BB2D1D" w:rsidRPr="00BB2D1D" w:rsidRDefault="00BB2D1D" w:rsidP="00CA45A9">
      <w:pPr>
        <w:jc w:val="both"/>
      </w:pPr>
      <w:r w:rsidRPr="00BB2D1D">
        <w:t xml:space="preserve">Nel 2025 le pratiche ESG risultano ormai ampiamente diffuse tra le imprese </w:t>
      </w:r>
      <w:r w:rsidR="00C866A5">
        <w:t>marchigiane</w:t>
      </w:r>
      <w:r w:rsidRPr="00BB2D1D">
        <w:t>: il 67% dichiara di adottarle, anche se solo il 31% lo fa in modo sistematico e strutturato. L’evoluzione rispetto al biennio precedente è significativa: il punteggio complessivo passa dal 39% del massimo teorico al 50%, segnalando il passaggio da un approccio prevalentemente parziale a una più concreta integrazione della sostenibilità nei processi aziendali.</w:t>
      </w:r>
    </w:p>
    <w:p w14:paraId="31AA0798" w14:textId="2320FB21" w:rsidR="00BB2D1D" w:rsidRPr="00BB2D1D" w:rsidRDefault="00BB2D1D" w:rsidP="00CA45A9">
      <w:pPr>
        <w:jc w:val="both"/>
      </w:pPr>
      <w:r w:rsidRPr="00BB2D1D">
        <w:t xml:space="preserve">La crescita interessa tutti i </w:t>
      </w:r>
      <w:r w:rsidR="00C866A5">
        <w:t xml:space="preserve">tre </w:t>
      </w:r>
      <w:r w:rsidRPr="00BB2D1D">
        <w:t>pilastri</w:t>
      </w:r>
      <w:r w:rsidR="00C866A5">
        <w:t xml:space="preserve"> ESG</w:t>
      </w:r>
      <w:r w:rsidRPr="00BB2D1D">
        <w:t>, ma con intensità diverse. La dimensione sociale rimane l’area più consolidata, grazie alla diffusione di formazione, welfare e strumenti di tutela dei lavoratori. Anche l’area ambientale registra un forte avanzamento, sostenuto da investimenti in efficienza energetica, certificazioni e riduzione degli impatti. Più lenta risulta invece la maturazione della governance, che richiede maggiore formalizzazione dei ruoli, dei sistemi di controllo e delle responsabilità interne.</w:t>
      </w:r>
    </w:p>
    <w:p w14:paraId="62F213EE" w14:textId="77777777" w:rsidR="00BB2D1D" w:rsidRPr="00BB2D1D" w:rsidRDefault="00BB2D1D" w:rsidP="00CA45A9">
      <w:pPr>
        <w:jc w:val="both"/>
      </w:pPr>
      <w:r w:rsidRPr="00BB2D1D">
        <w:t>Le imprese adottano i criteri ESG soprattutto perché li considerano indicatori della qualità gestionale e strumenti di innovazione e crescita. I benefici percepiti riguardano in primo luogo la reputazione, la qualità dei prodotti e servizi e la gestione dei rischi, mentre gli effetti sull’accesso al credito restano ancora limitati. Permane inoltre un rilevante divario dimensionale: le grandi imprese dispongono di maggiori risorse, competenze e presidi organizzativi, mentre le PMI adottano pratiche più frammentate e meno formalizzate.</w:t>
      </w:r>
    </w:p>
    <w:p w14:paraId="7BF376C3" w14:textId="77777777" w:rsidR="00BB2D1D" w:rsidRPr="00BB2D1D" w:rsidRDefault="00BB2D1D" w:rsidP="00CA45A9">
      <w:pPr>
        <w:jc w:val="both"/>
      </w:pPr>
      <w:r w:rsidRPr="00BB2D1D">
        <w:t>L’aspetto più significativo è il fenomeno della “sostenibilità inconsapevole”: molte imprese che dichiarano di non applicare criteri ESG realizzano in realtà numerose iniziative ambientali, sociali e di trasparenza. La sfida principale non consiste quindi nell’avviare da zero nuovi percorsi, ma nel riconoscere, misurare e organizzare le pratiche già presenti. Rafforzare le competenze interne, introdurre KPI e migliorare la governance può trasformare questo patrimonio latente in una leva consapevole di competitività e resilienza.</w:t>
      </w:r>
    </w:p>
    <w:p w14:paraId="65FCCDAF" w14:textId="77777777" w:rsidR="00BB2D1D" w:rsidRDefault="00BB2D1D" w:rsidP="00CA45A9">
      <w:pPr>
        <w:jc w:val="both"/>
      </w:pPr>
    </w:p>
    <w:p w14:paraId="0DD6E14D" w14:textId="2FAF4145" w:rsidR="00CA45A9" w:rsidRPr="00CA45A9" w:rsidRDefault="00CA45A9" w:rsidP="00CA45A9">
      <w:pPr>
        <w:jc w:val="both"/>
        <w:rPr>
          <w:b/>
          <w:bCs/>
        </w:rPr>
      </w:pPr>
      <w:r w:rsidRPr="00CA45A9">
        <w:rPr>
          <w:b/>
          <w:bCs/>
        </w:rPr>
        <w:t>Intelligenza artificiale e innovazione dei modelli di business</w:t>
      </w:r>
      <w:r>
        <w:rPr>
          <w:b/>
          <w:bCs/>
        </w:rPr>
        <w:t xml:space="preserve"> nelle imprese marchigiane</w:t>
      </w:r>
    </w:p>
    <w:p w14:paraId="078E0A7D" w14:textId="77777777" w:rsidR="00CA45A9" w:rsidRPr="00CA45A9" w:rsidRDefault="00CA45A9" w:rsidP="00CA45A9">
      <w:pPr>
        <w:jc w:val="both"/>
      </w:pPr>
      <w:r w:rsidRPr="00CA45A9">
        <w:t xml:space="preserve">L’adozione dell’intelligenza artificiale sta accelerando rapidamente nel sistema produttivo italiano, ma la diffusione della tecnologia non si traduce automaticamente in una trasformazione </w:t>
      </w:r>
      <w:r w:rsidRPr="00CA45A9">
        <w:lastRenderedPageBreak/>
        <w:t xml:space="preserve">del modello di business. Circa due terzi delle imprese che investono in AI non modificano in modo significativo il modo in cui creano e catturano valore, limitandone l’impiego soprattutto all’efficientamento dei processi. La quota di imprese che associa AI </w:t>
      </w:r>
      <w:proofErr w:type="gramStart"/>
      <w:r w:rsidRPr="00CA45A9">
        <w:t xml:space="preserve">e </w:t>
      </w:r>
      <w:r w:rsidRPr="00D925BE">
        <w:rPr>
          <w:i/>
          <w:iCs/>
        </w:rPr>
        <w:t>Business</w:t>
      </w:r>
      <w:proofErr w:type="gramEnd"/>
      <w:r w:rsidRPr="00D925BE">
        <w:rPr>
          <w:i/>
          <w:iCs/>
        </w:rPr>
        <w:t xml:space="preserve"> Model Innovation</w:t>
      </w:r>
      <w:r w:rsidRPr="00CA45A9">
        <w:t xml:space="preserve"> cresce invece quando la tecnologia viene integrata nella strategia aziendale e, soprattutto, quando viene sviluppata internamente.</w:t>
      </w:r>
    </w:p>
    <w:p w14:paraId="6F3503C5" w14:textId="77777777" w:rsidR="00CA45A9" w:rsidRPr="00CA45A9" w:rsidRDefault="00CA45A9" w:rsidP="00CA45A9">
      <w:pPr>
        <w:jc w:val="both"/>
      </w:pPr>
      <w:r w:rsidRPr="00CA45A9">
        <w:t>Le imprese pioniere e quelle capaci di combinare AI e innovazione del modello di business presentano generalmente migliori livelli di redditività. I maggiori benefici non derivano quindi dal semplice accesso a soluzioni disponibili sul mercato, ma dalla capacità di accumulare competenze interne, integrare l’AI nei processi decisionali e utilizzarla per ripensare prodotti, servizi, relazioni con i clienti e modalità di generazione dei ricavi. Le medie imprese emergono come il segmento più dinamico nell’adozione anticipata e nello sviluppo autonomo delle applicazioni.</w:t>
      </w:r>
    </w:p>
    <w:p w14:paraId="5FDE9CC4" w14:textId="77777777" w:rsidR="00CA45A9" w:rsidRPr="00CA45A9" w:rsidRDefault="00CA45A9" w:rsidP="00CA45A9">
      <w:pPr>
        <w:jc w:val="both"/>
      </w:pPr>
      <w:r w:rsidRPr="00CA45A9">
        <w:t>Nelle Marche, il quadro appare in parte coerente con quello nazionale. La regione mostra una buona partecipazione delle piccole imprese alla transizione digitale e una significativa presenza di imprese attive nell’AI, ma una minore capacità di tradurre l’adozione tecnologica in innovazione strategica. Solo il 32,5% delle imprese marchigiane che investono in AI modifica significativamente il proprio modello di business, una quota inferiore alla media italiana; il divario è ancora più ampio tra le imprese che sviluppano autonomamente soluzioni di AI.</w:t>
      </w:r>
    </w:p>
    <w:p w14:paraId="7A31034F" w14:textId="77777777" w:rsidR="00CA45A9" w:rsidRPr="00CA45A9" w:rsidRDefault="00CA45A9" w:rsidP="00CA45A9">
      <w:pPr>
        <w:jc w:val="both"/>
      </w:pPr>
      <w:r w:rsidRPr="00CA45A9">
        <w:t>Nel sistema produttivo regionale, l’intelligenza artificiale viene dunque utilizzata soprattutto come strumento di innovazione incrementale, finalizzato a migliorare l’efficienza, la qualità dei prodotti e la competitività nei mercati tradizionali. La sfida decisiva consiste nel superare questo approccio prevalentemente adattivo e impiegare l’AI come leva per ridisegnare la proposta di valore, introdurre nuovi modelli di ricavo e governare una trasformazione più profonda dell’organizzazione.</w:t>
      </w:r>
    </w:p>
    <w:p w14:paraId="163241FE" w14:textId="77777777" w:rsidR="00CA45A9" w:rsidRDefault="00CA45A9" w:rsidP="00CA45A9">
      <w:pPr>
        <w:jc w:val="both"/>
      </w:pPr>
    </w:p>
    <w:p w14:paraId="07B7F4F1" w14:textId="219A1BD2" w:rsidR="00CA45A9" w:rsidRPr="00CA45A9" w:rsidRDefault="00CA45A9" w:rsidP="00CA45A9">
      <w:pPr>
        <w:jc w:val="both"/>
        <w:rPr>
          <w:b/>
          <w:bCs/>
        </w:rPr>
      </w:pPr>
      <w:r w:rsidRPr="00CA45A9">
        <w:rPr>
          <w:b/>
          <w:bCs/>
        </w:rPr>
        <w:t>Intelligenza artificiale e rinnovamento strategico d’impresa</w:t>
      </w:r>
      <w:r>
        <w:rPr>
          <w:b/>
          <w:bCs/>
        </w:rPr>
        <w:t xml:space="preserve"> nella manifattura regionale</w:t>
      </w:r>
    </w:p>
    <w:p w14:paraId="373C7746" w14:textId="77777777" w:rsidR="00CA45A9" w:rsidRPr="00CA45A9" w:rsidRDefault="00CA45A9" w:rsidP="00CA45A9">
      <w:pPr>
        <w:jc w:val="both"/>
      </w:pPr>
      <w:r w:rsidRPr="00CA45A9">
        <w:t>L’analisi mostra che l’intelligenza artificiale, considerata isolatamente, non determina automaticamente un aumento della redditività. I benefici emergono soprattutto quando la tecnologia viene integrata nei processi aziendali, nelle decisioni manageriali e nell’organizzazione interna. In assenza di adeguate competenze e di una sufficiente maturità organizzativa, i costi di adozione possono invece comprimere i margini nel breve periodo.</w:t>
      </w:r>
    </w:p>
    <w:p w14:paraId="25B89B56" w14:textId="77777777" w:rsidR="00CA45A9" w:rsidRPr="00CA45A9" w:rsidRDefault="00CA45A9" w:rsidP="00CA45A9">
      <w:pPr>
        <w:jc w:val="both"/>
      </w:pPr>
      <w:r w:rsidRPr="00CA45A9">
        <w:t>Anche le azioni strategiche incidono positivamente sulla performance quando producono un effettivo rinnovamento del modello competitivo. Innovazione di prodotto, investimenti in ricerca e sviluppo, riposizionamento sul mercato e revisione del modello di business risultano associati a un miglioramento del Return on Sales, soprattutto quando coinvolgono in modo coerente l’intera organizzazione e non si limitano a interventi marginali o di natura prevalentemente comunicativa.</w:t>
      </w:r>
    </w:p>
    <w:p w14:paraId="362C0317" w14:textId="77777777" w:rsidR="00CA45A9" w:rsidRPr="00CA45A9" w:rsidRDefault="00CA45A9" w:rsidP="00CA45A9">
      <w:pPr>
        <w:jc w:val="both"/>
      </w:pPr>
      <w:r w:rsidRPr="00CA45A9">
        <w:t xml:space="preserve">Il risultato centrale riguarda la complementarità tra AI e strategia. Le imprese che combinano trasformazione digitale e rinnovamento strategico ottengono risultati superiori rispetto a quelle che adottano separatamente le due leve. L’intelligenza artificiale migliora l’efficienza, la qualità delle decisioni e l’impiego delle risorse, mentre le scelte strategiche consentono di tradurre tali vantaggi in innovazione dell’offerta, nuovi modelli organizzativi e maggiore capacità competitiva. </w:t>
      </w:r>
      <w:r w:rsidRPr="00CA45A9">
        <w:lastRenderedPageBreak/>
        <w:t>La maturità digitale costituisce quindi una base essenziale per valorizzare i successivi processi di trasformazione.</w:t>
      </w:r>
    </w:p>
    <w:p w14:paraId="517F62D2" w14:textId="77777777" w:rsidR="00CA45A9" w:rsidRPr="00CA45A9" w:rsidRDefault="00CA45A9" w:rsidP="00CA45A9">
      <w:pPr>
        <w:jc w:val="both"/>
      </w:pPr>
      <w:r w:rsidRPr="00CA45A9">
        <w:t>L’analisi individua tre profili di impresa: realtà tradizionali, imprese in trasformazione e aziende digitalmente mature. Le prime richiedono percorsi graduali, fondati sullo sviluppo delle competenze e su applicazioni circoscritte; le seconde possono utilizzare l’AI per rafforzare innovazione, ricerca e riposizionamento; le imprese più mature devono invece puntare a un’integrazione estesa tra tecnologia, organizzazione e revisione del modello di business.</w:t>
      </w:r>
    </w:p>
    <w:p w14:paraId="1EFEE77C" w14:textId="77777777" w:rsidR="00CA45A9" w:rsidRPr="00CA45A9" w:rsidRDefault="00CA45A9" w:rsidP="00CA45A9">
      <w:pPr>
        <w:jc w:val="both"/>
      </w:pPr>
      <w:r w:rsidRPr="00CA45A9">
        <w:t>Nel complesso, la redditività non dipende dall’entità degli investimenti tecnologici, ma dalla loro coerenza con le capacità organizzative e con il percorso strategico dell’impresa. La principale implicazione manageriale è quindi la necessità di superare interventi isolati e costruire un processo progressivo nel quale AI, cambiamento organizzativo e rinnovamento strategico concorrano congiuntamente alla creazione di valore.</w:t>
      </w:r>
    </w:p>
    <w:p w14:paraId="3C6432C5" w14:textId="77777777" w:rsidR="00CA45A9" w:rsidRDefault="00CA45A9" w:rsidP="00CA45A9">
      <w:pPr>
        <w:jc w:val="both"/>
      </w:pPr>
    </w:p>
    <w:sectPr w:rsidR="00CA45A9" w:rsidSect="00CA45A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D1D"/>
    <w:rsid w:val="000C3673"/>
    <w:rsid w:val="003538BA"/>
    <w:rsid w:val="006E0A52"/>
    <w:rsid w:val="00851A2D"/>
    <w:rsid w:val="008569CD"/>
    <w:rsid w:val="00B92178"/>
    <w:rsid w:val="00BB2D1D"/>
    <w:rsid w:val="00C866A5"/>
    <w:rsid w:val="00CA45A9"/>
    <w:rsid w:val="00D925BE"/>
    <w:rsid w:val="00DC1397"/>
    <w:rsid w:val="00E62A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746F0"/>
  <w15:chartTrackingRefBased/>
  <w15:docId w15:val="{CECCB304-7742-4247-B4E5-7A4A6279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B2D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B2D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B2D1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B2D1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B2D1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B2D1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B2D1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B2D1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B2D1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B2D1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B2D1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B2D1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B2D1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B2D1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B2D1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B2D1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B2D1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B2D1D"/>
    <w:rPr>
      <w:rFonts w:eastAsiaTheme="majorEastAsia" w:cstheme="majorBidi"/>
      <w:color w:val="272727" w:themeColor="text1" w:themeTint="D8"/>
    </w:rPr>
  </w:style>
  <w:style w:type="paragraph" w:styleId="Titolo">
    <w:name w:val="Title"/>
    <w:basedOn w:val="Normale"/>
    <w:next w:val="Normale"/>
    <w:link w:val="TitoloCarattere"/>
    <w:uiPriority w:val="10"/>
    <w:qFormat/>
    <w:rsid w:val="00BB2D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B2D1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B2D1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B2D1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B2D1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B2D1D"/>
    <w:rPr>
      <w:i/>
      <w:iCs/>
      <w:color w:val="404040" w:themeColor="text1" w:themeTint="BF"/>
    </w:rPr>
  </w:style>
  <w:style w:type="paragraph" w:styleId="Paragrafoelenco">
    <w:name w:val="List Paragraph"/>
    <w:basedOn w:val="Normale"/>
    <w:uiPriority w:val="34"/>
    <w:qFormat/>
    <w:rsid w:val="00BB2D1D"/>
    <w:pPr>
      <w:ind w:left="720"/>
      <w:contextualSpacing/>
    </w:pPr>
  </w:style>
  <w:style w:type="character" w:styleId="Enfasiintensa">
    <w:name w:val="Intense Emphasis"/>
    <w:basedOn w:val="Carpredefinitoparagrafo"/>
    <w:uiPriority w:val="21"/>
    <w:qFormat/>
    <w:rsid w:val="00BB2D1D"/>
    <w:rPr>
      <w:i/>
      <w:iCs/>
      <w:color w:val="0F4761" w:themeColor="accent1" w:themeShade="BF"/>
    </w:rPr>
  </w:style>
  <w:style w:type="paragraph" w:styleId="Citazioneintensa">
    <w:name w:val="Intense Quote"/>
    <w:basedOn w:val="Normale"/>
    <w:next w:val="Normale"/>
    <w:link w:val="CitazioneintensaCarattere"/>
    <w:uiPriority w:val="30"/>
    <w:qFormat/>
    <w:rsid w:val="00BB2D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B2D1D"/>
    <w:rPr>
      <w:i/>
      <w:iCs/>
      <w:color w:val="0F4761" w:themeColor="accent1" w:themeShade="BF"/>
    </w:rPr>
  </w:style>
  <w:style w:type="character" w:styleId="Riferimentointenso">
    <w:name w:val="Intense Reference"/>
    <w:basedOn w:val="Carpredefinitoparagrafo"/>
    <w:uiPriority w:val="32"/>
    <w:qFormat/>
    <w:rsid w:val="00BB2D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2911</Words>
  <Characters>16599</Characters>
  <Application>Microsoft Office Word</Application>
  <DocSecurity>0</DocSecurity>
  <Lines>138</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Cucculelli</dc:creator>
  <cp:keywords/>
  <dc:description/>
  <cp:lastModifiedBy>Marco Cucculelli</cp:lastModifiedBy>
  <cp:revision>5</cp:revision>
  <dcterms:created xsi:type="dcterms:W3CDTF">2026-07-28T15:22:00Z</dcterms:created>
  <dcterms:modified xsi:type="dcterms:W3CDTF">2026-07-28T15:57:00Z</dcterms:modified>
</cp:coreProperties>
</file>